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7F" w:rsidRDefault="00284499" w:rsidP="00284499">
      <w:pPr>
        <w:jc w:val="center"/>
        <w:rPr>
          <w:b/>
          <w:lang w:val="hr-HR"/>
        </w:rPr>
      </w:pPr>
      <w:r w:rsidRPr="00037527">
        <w:rPr>
          <w:b/>
          <w:lang w:val="hr-HR"/>
        </w:rPr>
        <w:t xml:space="preserve">Zabilješka </w:t>
      </w:r>
      <w:proofErr w:type="spellStart"/>
      <w:r w:rsidRPr="00037527">
        <w:rPr>
          <w:b/>
          <w:lang w:val="hr-HR"/>
        </w:rPr>
        <w:t>bilansnih</w:t>
      </w:r>
      <w:proofErr w:type="spellEnd"/>
      <w:r w:rsidRPr="00037527">
        <w:rPr>
          <w:b/>
          <w:lang w:val="hr-HR"/>
        </w:rPr>
        <w:t xml:space="preserve"> pozicija iz </w:t>
      </w:r>
      <w:proofErr w:type="spellStart"/>
      <w:r w:rsidRPr="00037527">
        <w:rPr>
          <w:b/>
          <w:lang w:val="hr-HR"/>
        </w:rPr>
        <w:t>Bilansa</w:t>
      </w:r>
      <w:proofErr w:type="spellEnd"/>
      <w:r w:rsidRPr="00037527">
        <w:rPr>
          <w:b/>
          <w:lang w:val="hr-HR"/>
        </w:rPr>
        <w:t xml:space="preserve"> stanja za period 01.01.</w:t>
      </w:r>
      <w:r w:rsidR="002A0BF1" w:rsidRPr="00037527">
        <w:rPr>
          <w:b/>
          <w:lang w:val="hr-HR"/>
        </w:rPr>
        <w:t xml:space="preserve"> </w:t>
      </w:r>
      <w:r w:rsidRPr="00037527">
        <w:rPr>
          <w:b/>
          <w:lang w:val="hr-HR"/>
        </w:rPr>
        <w:t>-</w:t>
      </w:r>
      <w:r w:rsidR="002A0BF1" w:rsidRPr="00037527">
        <w:rPr>
          <w:b/>
          <w:lang w:val="hr-HR"/>
        </w:rPr>
        <w:t xml:space="preserve"> </w:t>
      </w:r>
      <w:r w:rsidRPr="00037527">
        <w:rPr>
          <w:b/>
          <w:lang w:val="hr-HR"/>
        </w:rPr>
        <w:t>3</w:t>
      </w:r>
      <w:r w:rsidR="0001583D">
        <w:rPr>
          <w:b/>
          <w:lang w:val="hr-HR"/>
        </w:rPr>
        <w:t>1.12</w:t>
      </w:r>
      <w:r w:rsidRPr="00037527">
        <w:rPr>
          <w:b/>
          <w:lang w:val="hr-HR"/>
        </w:rPr>
        <w:t>.201</w:t>
      </w:r>
      <w:r w:rsidR="00425BAE">
        <w:rPr>
          <w:b/>
          <w:lang w:val="hr-HR"/>
        </w:rPr>
        <w:t>7</w:t>
      </w:r>
      <w:r w:rsidR="002A0BF1" w:rsidRPr="00037527">
        <w:rPr>
          <w:b/>
          <w:lang w:val="hr-HR"/>
        </w:rPr>
        <w:t>. godine</w:t>
      </w:r>
    </w:p>
    <w:p w:rsidR="00273842" w:rsidRPr="00EC1471" w:rsidRDefault="00273842" w:rsidP="005D3F7D">
      <w:pPr>
        <w:rPr>
          <w:sz w:val="14"/>
          <w:szCs w:val="16"/>
          <w:lang w:val="hr-HR"/>
        </w:rPr>
      </w:pPr>
    </w:p>
    <w:p w:rsidR="00284499" w:rsidRPr="00273842" w:rsidRDefault="00284499" w:rsidP="00284499">
      <w:pPr>
        <w:jc w:val="both"/>
        <w:rPr>
          <w:sz w:val="22"/>
          <w:szCs w:val="22"/>
          <w:lang w:val="hr-HR"/>
        </w:rPr>
      </w:pPr>
      <w:r w:rsidRPr="00273842">
        <w:rPr>
          <w:sz w:val="22"/>
          <w:szCs w:val="22"/>
          <w:lang w:val="hr-HR"/>
        </w:rPr>
        <w:t xml:space="preserve">U skladu sa  </w:t>
      </w:r>
      <w:r w:rsidR="002A0BF1" w:rsidRPr="00273842">
        <w:rPr>
          <w:sz w:val="22"/>
          <w:szCs w:val="22"/>
          <w:lang w:val="hr-HR"/>
        </w:rPr>
        <w:t>I</w:t>
      </w:r>
      <w:r w:rsidRPr="00273842">
        <w:rPr>
          <w:sz w:val="22"/>
          <w:szCs w:val="22"/>
          <w:lang w:val="hr-HR"/>
        </w:rPr>
        <w:t>nstru</w:t>
      </w:r>
      <w:r w:rsidR="002A0BF1" w:rsidRPr="00273842">
        <w:rPr>
          <w:sz w:val="22"/>
          <w:szCs w:val="22"/>
          <w:lang w:val="hr-HR"/>
        </w:rPr>
        <w:t>k</w:t>
      </w:r>
      <w:r w:rsidRPr="00273842">
        <w:rPr>
          <w:sz w:val="22"/>
          <w:szCs w:val="22"/>
          <w:lang w:val="hr-HR"/>
        </w:rPr>
        <w:t>ci</w:t>
      </w:r>
      <w:r w:rsidR="002A0BF1" w:rsidRPr="00273842">
        <w:rPr>
          <w:sz w:val="22"/>
          <w:szCs w:val="22"/>
          <w:lang w:val="hr-HR"/>
        </w:rPr>
        <w:t>j</w:t>
      </w:r>
      <w:r w:rsidRPr="00273842">
        <w:rPr>
          <w:sz w:val="22"/>
          <w:szCs w:val="22"/>
          <w:lang w:val="hr-HR"/>
        </w:rPr>
        <w:t>o</w:t>
      </w:r>
      <w:r w:rsidR="00425BAE">
        <w:rPr>
          <w:sz w:val="22"/>
          <w:szCs w:val="22"/>
          <w:lang w:val="hr-HR"/>
        </w:rPr>
        <w:t xml:space="preserve">m za sačinjavanje </w:t>
      </w:r>
      <w:r w:rsidRPr="00273842">
        <w:rPr>
          <w:sz w:val="22"/>
          <w:szCs w:val="22"/>
          <w:lang w:val="hr-HR"/>
        </w:rPr>
        <w:t>izvještaja o izvršenju budžeta budžetskih korisnika za perio</w:t>
      </w:r>
      <w:r w:rsidR="002A0BF1" w:rsidRPr="00273842">
        <w:rPr>
          <w:sz w:val="22"/>
          <w:szCs w:val="22"/>
          <w:lang w:val="hr-HR"/>
        </w:rPr>
        <w:t>d</w:t>
      </w:r>
      <w:r w:rsidRPr="00273842">
        <w:rPr>
          <w:sz w:val="22"/>
          <w:szCs w:val="22"/>
          <w:lang w:val="hr-HR"/>
        </w:rPr>
        <w:t xml:space="preserve"> 01.01.</w:t>
      </w:r>
      <w:r w:rsidR="002A0BF1" w:rsidRPr="00273842">
        <w:rPr>
          <w:sz w:val="22"/>
          <w:szCs w:val="22"/>
          <w:lang w:val="hr-HR"/>
        </w:rPr>
        <w:t xml:space="preserve"> </w:t>
      </w:r>
      <w:r w:rsidRPr="00273842">
        <w:rPr>
          <w:sz w:val="22"/>
          <w:szCs w:val="22"/>
          <w:lang w:val="hr-HR"/>
        </w:rPr>
        <w:t>-</w:t>
      </w:r>
      <w:r w:rsidR="002A0BF1" w:rsidRPr="00273842">
        <w:rPr>
          <w:sz w:val="22"/>
          <w:szCs w:val="22"/>
          <w:lang w:val="hr-HR"/>
        </w:rPr>
        <w:t xml:space="preserve"> </w:t>
      </w:r>
      <w:r w:rsidRPr="00273842">
        <w:rPr>
          <w:sz w:val="22"/>
          <w:szCs w:val="22"/>
          <w:lang w:val="hr-HR"/>
        </w:rPr>
        <w:t>30.</w:t>
      </w:r>
      <w:r w:rsidR="0001583D">
        <w:rPr>
          <w:sz w:val="22"/>
          <w:szCs w:val="22"/>
          <w:lang w:val="hr-HR"/>
        </w:rPr>
        <w:t>12</w:t>
      </w:r>
      <w:r w:rsidRPr="00273842">
        <w:rPr>
          <w:sz w:val="22"/>
          <w:szCs w:val="22"/>
          <w:lang w:val="hr-HR"/>
        </w:rPr>
        <w:t>.201</w:t>
      </w:r>
      <w:r w:rsidR="0001583D">
        <w:rPr>
          <w:sz w:val="22"/>
          <w:szCs w:val="22"/>
          <w:lang w:val="hr-HR"/>
        </w:rPr>
        <w:t>7</w:t>
      </w:r>
      <w:r w:rsidRPr="00273842">
        <w:rPr>
          <w:sz w:val="22"/>
          <w:szCs w:val="22"/>
          <w:lang w:val="hr-HR"/>
        </w:rPr>
        <w:t>.</w:t>
      </w:r>
      <w:r w:rsidR="002A0BF1" w:rsidRPr="00273842">
        <w:rPr>
          <w:sz w:val="22"/>
          <w:szCs w:val="22"/>
          <w:lang w:val="hr-HR"/>
        </w:rPr>
        <w:t xml:space="preserve"> </w:t>
      </w:r>
      <w:r w:rsidRPr="00273842">
        <w:rPr>
          <w:sz w:val="22"/>
          <w:szCs w:val="22"/>
          <w:lang w:val="hr-HR"/>
        </w:rPr>
        <w:t>godine</w:t>
      </w:r>
      <w:r w:rsidR="002A0BF1" w:rsidRPr="00273842">
        <w:rPr>
          <w:sz w:val="22"/>
          <w:szCs w:val="22"/>
          <w:lang w:val="hr-HR"/>
        </w:rPr>
        <w:t>,</w:t>
      </w:r>
      <w:r w:rsidRPr="00273842">
        <w:rPr>
          <w:sz w:val="22"/>
          <w:szCs w:val="22"/>
          <w:lang w:val="hr-HR"/>
        </w:rPr>
        <w:t xml:space="preserve"> </w:t>
      </w:r>
      <w:r w:rsidR="0001583D">
        <w:rPr>
          <w:sz w:val="22"/>
          <w:szCs w:val="22"/>
          <w:lang w:val="hr-HR"/>
        </w:rPr>
        <w:t>broj: 05-16</w:t>
      </w:r>
      <w:r w:rsidR="00425BAE">
        <w:rPr>
          <w:sz w:val="22"/>
          <w:szCs w:val="22"/>
          <w:lang w:val="hr-HR"/>
        </w:rPr>
        <w:t>-2-</w:t>
      </w:r>
      <w:r w:rsidR="0001583D">
        <w:rPr>
          <w:sz w:val="22"/>
          <w:szCs w:val="22"/>
          <w:lang w:val="hr-HR"/>
        </w:rPr>
        <w:t>259-1/18 od 03</w:t>
      </w:r>
      <w:r w:rsidR="00425BAE">
        <w:rPr>
          <w:sz w:val="22"/>
          <w:szCs w:val="22"/>
          <w:lang w:val="hr-HR"/>
        </w:rPr>
        <w:t>.0</w:t>
      </w:r>
      <w:r w:rsidR="0001583D">
        <w:rPr>
          <w:sz w:val="22"/>
          <w:szCs w:val="22"/>
          <w:lang w:val="hr-HR"/>
        </w:rPr>
        <w:t>1</w:t>
      </w:r>
      <w:r w:rsidR="00425BAE">
        <w:rPr>
          <w:sz w:val="22"/>
          <w:szCs w:val="22"/>
          <w:lang w:val="hr-HR"/>
        </w:rPr>
        <w:t>.201</w:t>
      </w:r>
      <w:r w:rsidR="0001583D">
        <w:rPr>
          <w:sz w:val="22"/>
          <w:szCs w:val="22"/>
          <w:lang w:val="hr-HR"/>
        </w:rPr>
        <w:t>8</w:t>
      </w:r>
      <w:r w:rsidR="00425BAE">
        <w:rPr>
          <w:sz w:val="22"/>
          <w:szCs w:val="22"/>
          <w:lang w:val="hr-HR"/>
        </w:rPr>
        <w:t>.</w:t>
      </w:r>
      <w:r w:rsidR="0001583D">
        <w:rPr>
          <w:sz w:val="22"/>
          <w:szCs w:val="22"/>
          <w:lang w:val="hr-HR"/>
        </w:rPr>
        <w:t xml:space="preserve"> </w:t>
      </w:r>
      <w:r w:rsidR="00425BAE">
        <w:rPr>
          <w:sz w:val="22"/>
          <w:szCs w:val="22"/>
          <w:lang w:val="hr-HR"/>
        </w:rPr>
        <w:t xml:space="preserve">godine, </w:t>
      </w:r>
      <w:r w:rsidRPr="00273842">
        <w:rPr>
          <w:sz w:val="22"/>
          <w:szCs w:val="22"/>
          <w:lang w:val="hr-HR"/>
        </w:rPr>
        <w:t>Agencija za</w:t>
      </w:r>
      <w:r w:rsidR="002A0BF1" w:rsidRPr="00273842">
        <w:rPr>
          <w:sz w:val="22"/>
          <w:szCs w:val="22"/>
          <w:lang w:val="hr-HR"/>
        </w:rPr>
        <w:t xml:space="preserve"> </w:t>
      </w:r>
      <w:r w:rsidRPr="00273842">
        <w:rPr>
          <w:sz w:val="22"/>
          <w:szCs w:val="22"/>
          <w:lang w:val="hr-HR"/>
        </w:rPr>
        <w:t>prevenciju korupcije i koordinacij</w:t>
      </w:r>
      <w:r w:rsidR="002A0BF1" w:rsidRPr="00273842">
        <w:rPr>
          <w:sz w:val="22"/>
          <w:szCs w:val="22"/>
          <w:lang w:val="hr-HR"/>
        </w:rPr>
        <w:t>u</w:t>
      </w:r>
      <w:r w:rsidRPr="00273842">
        <w:rPr>
          <w:sz w:val="22"/>
          <w:szCs w:val="22"/>
          <w:lang w:val="hr-HR"/>
        </w:rPr>
        <w:t xml:space="preserve"> borbe protiv korupcije je izvršila sve potrebne radnje za fer i korektno iskazivanje istog.</w:t>
      </w:r>
    </w:p>
    <w:p w:rsidR="00EC1471" w:rsidRPr="00936FF3" w:rsidRDefault="00EC1471" w:rsidP="00284499">
      <w:pPr>
        <w:jc w:val="both"/>
        <w:rPr>
          <w:sz w:val="12"/>
          <w:szCs w:val="22"/>
          <w:lang w:val="hr-HR"/>
        </w:rPr>
      </w:pPr>
    </w:p>
    <w:p w:rsidR="00C41957" w:rsidRDefault="00284499" w:rsidP="00284499">
      <w:pPr>
        <w:jc w:val="both"/>
        <w:rPr>
          <w:sz w:val="22"/>
          <w:szCs w:val="22"/>
          <w:lang w:val="hr-HR"/>
        </w:rPr>
      </w:pPr>
      <w:r w:rsidRPr="00273842">
        <w:rPr>
          <w:sz w:val="22"/>
          <w:szCs w:val="22"/>
          <w:lang w:val="hr-HR"/>
        </w:rPr>
        <w:t xml:space="preserve">S tim u vezi, u tabelarnom pregledu prikazane su pozicije </w:t>
      </w:r>
      <w:proofErr w:type="spellStart"/>
      <w:r w:rsidRPr="00273842">
        <w:rPr>
          <w:sz w:val="22"/>
          <w:szCs w:val="22"/>
          <w:lang w:val="hr-HR"/>
        </w:rPr>
        <w:t>Bilansa</w:t>
      </w:r>
      <w:proofErr w:type="spellEnd"/>
      <w:r w:rsidRPr="00273842">
        <w:rPr>
          <w:sz w:val="22"/>
          <w:szCs w:val="22"/>
          <w:lang w:val="hr-HR"/>
        </w:rPr>
        <w:t xml:space="preserve"> stanja:</w:t>
      </w:r>
    </w:p>
    <w:p w:rsidR="00936FF3" w:rsidRPr="00936FF3" w:rsidRDefault="00936FF3" w:rsidP="00284499">
      <w:pPr>
        <w:jc w:val="both"/>
        <w:rPr>
          <w:sz w:val="10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560"/>
        <w:gridCol w:w="1559"/>
      </w:tblGrid>
      <w:tr w:rsidR="00B42EB7" w:rsidRPr="00273842" w:rsidTr="00EC1471">
        <w:tc>
          <w:tcPr>
            <w:tcW w:w="5920" w:type="dxa"/>
            <w:shd w:val="clear" w:color="auto" w:fill="BFBFBF" w:themeFill="background1" w:themeFillShade="BF"/>
          </w:tcPr>
          <w:p w:rsidR="00DE0733" w:rsidRPr="00273842" w:rsidRDefault="00DE0733" w:rsidP="00284499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>Pozicija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E0733" w:rsidRPr="00273842" w:rsidRDefault="00DE0733" w:rsidP="0003752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>Tekuća  godina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E0733" w:rsidRPr="00273842" w:rsidRDefault="00DE0733" w:rsidP="0003752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>Prethodna godina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5DFA" w:rsidRPr="00273842" w:rsidRDefault="00B42EB7" w:rsidP="0003752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>Indeks</w:t>
            </w:r>
          </w:p>
          <w:p w:rsidR="00DE0733" w:rsidRPr="00273842" w:rsidRDefault="002A0BF1" w:rsidP="00B42EB7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>(</w:t>
            </w:r>
            <w:r w:rsidR="00B42EB7" w:rsidRPr="00273842">
              <w:rPr>
                <w:b/>
                <w:sz w:val="22"/>
                <w:szCs w:val="22"/>
                <w:lang w:val="hr-HR"/>
              </w:rPr>
              <w:t xml:space="preserve">2/3 </w:t>
            </w:r>
            <w:r w:rsidR="00DE0733" w:rsidRPr="00273842">
              <w:rPr>
                <w:b/>
                <w:sz w:val="22"/>
                <w:szCs w:val="22"/>
                <w:lang w:val="hr-HR"/>
              </w:rPr>
              <w:t>*100</w:t>
            </w:r>
            <w:r w:rsidRPr="00273842">
              <w:rPr>
                <w:b/>
                <w:sz w:val="22"/>
                <w:szCs w:val="22"/>
                <w:lang w:val="hr-HR"/>
              </w:rPr>
              <w:t>)</w:t>
            </w:r>
          </w:p>
        </w:tc>
      </w:tr>
      <w:tr w:rsidR="00B42EB7" w:rsidRPr="00273842" w:rsidTr="00EC1471">
        <w:trPr>
          <w:trHeight w:val="92"/>
        </w:trPr>
        <w:tc>
          <w:tcPr>
            <w:tcW w:w="5920" w:type="dxa"/>
            <w:shd w:val="clear" w:color="auto" w:fill="FBD4B4" w:themeFill="accent6" w:themeFillTint="66"/>
          </w:tcPr>
          <w:p w:rsidR="00B42EB7" w:rsidRPr="00637157" w:rsidRDefault="00B42EB7" w:rsidP="00B42EB7">
            <w:pPr>
              <w:jc w:val="center"/>
              <w:rPr>
                <w:sz w:val="16"/>
                <w:szCs w:val="16"/>
                <w:lang w:val="hr-HR"/>
              </w:rPr>
            </w:pPr>
            <w:r w:rsidRPr="00637157">
              <w:rPr>
                <w:sz w:val="16"/>
                <w:szCs w:val="16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42EB7" w:rsidRPr="00637157" w:rsidRDefault="00B42EB7" w:rsidP="00B42EB7">
            <w:pPr>
              <w:jc w:val="center"/>
              <w:rPr>
                <w:sz w:val="16"/>
                <w:szCs w:val="16"/>
                <w:lang w:val="hr-HR"/>
              </w:rPr>
            </w:pPr>
            <w:r w:rsidRPr="00637157">
              <w:rPr>
                <w:sz w:val="16"/>
                <w:szCs w:val="16"/>
                <w:lang w:val="hr-HR"/>
              </w:rPr>
              <w:t>2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B42EB7" w:rsidRPr="00637157" w:rsidRDefault="00B42EB7" w:rsidP="00B42EB7">
            <w:pPr>
              <w:jc w:val="center"/>
              <w:rPr>
                <w:sz w:val="16"/>
                <w:szCs w:val="16"/>
                <w:lang w:val="hr-HR"/>
              </w:rPr>
            </w:pPr>
            <w:r w:rsidRPr="00637157">
              <w:rPr>
                <w:sz w:val="16"/>
                <w:szCs w:val="16"/>
                <w:lang w:val="hr-HR"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B42EB7" w:rsidRPr="00637157" w:rsidRDefault="00B42EB7" w:rsidP="00B42EB7">
            <w:pPr>
              <w:jc w:val="center"/>
              <w:rPr>
                <w:sz w:val="16"/>
                <w:szCs w:val="16"/>
                <w:lang w:val="hr-HR"/>
              </w:rPr>
            </w:pPr>
            <w:r w:rsidRPr="00637157">
              <w:rPr>
                <w:sz w:val="16"/>
                <w:szCs w:val="16"/>
                <w:lang w:val="hr-HR"/>
              </w:rPr>
              <w:t>4</w:t>
            </w:r>
          </w:p>
        </w:tc>
      </w:tr>
      <w:tr w:rsidR="00B42EB7" w:rsidRPr="00273842" w:rsidTr="00EC1471">
        <w:tc>
          <w:tcPr>
            <w:tcW w:w="5920" w:type="dxa"/>
          </w:tcPr>
          <w:p w:rsidR="00DE0733" w:rsidRPr="00273842" w:rsidRDefault="00DE0733" w:rsidP="002A0BF1">
            <w:pPr>
              <w:jc w:val="both"/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>110000 Novčana sredstva</w:t>
            </w:r>
          </w:p>
        </w:tc>
        <w:tc>
          <w:tcPr>
            <w:tcW w:w="1559" w:type="dxa"/>
          </w:tcPr>
          <w:p w:rsidR="00DE0733" w:rsidRPr="00273842" w:rsidRDefault="00F96EFA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2.967</w:t>
            </w:r>
          </w:p>
        </w:tc>
        <w:tc>
          <w:tcPr>
            <w:tcW w:w="1560" w:type="dxa"/>
          </w:tcPr>
          <w:p w:rsidR="00DE0733" w:rsidRPr="00273842" w:rsidRDefault="00F96EFA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2.806</w:t>
            </w:r>
          </w:p>
        </w:tc>
        <w:tc>
          <w:tcPr>
            <w:tcW w:w="1559" w:type="dxa"/>
          </w:tcPr>
          <w:p w:rsidR="00DE0733" w:rsidRPr="00273842" w:rsidRDefault="004649A7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289,00</w:t>
            </w:r>
          </w:p>
        </w:tc>
      </w:tr>
      <w:tr w:rsidR="00B42EB7" w:rsidRPr="00273842" w:rsidTr="00EC1471">
        <w:tc>
          <w:tcPr>
            <w:tcW w:w="5920" w:type="dxa"/>
          </w:tcPr>
          <w:p w:rsidR="00DE0733" w:rsidRPr="00273842" w:rsidRDefault="00DE0733" w:rsidP="002A0BF1">
            <w:pPr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 xml:space="preserve">130000 Kratkoročna potraživanja </w:t>
            </w:r>
          </w:p>
        </w:tc>
        <w:tc>
          <w:tcPr>
            <w:tcW w:w="1559" w:type="dxa"/>
          </w:tcPr>
          <w:p w:rsidR="00DE0733" w:rsidRPr="00273842" w:rsidRDefault="00F96EFA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2.074</w:t>
            </w:r>
          </w:p>
        </w:tc>
        <w:tc>
          <w:tcPr>
            <w:tcW w:w="1560" w:type="dxa"/>
          </w:tcPr>
          <w:p w:rsidR="00DE0733" w:rsidRPr="00273842" w:rsidRDefault="005003AF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</w:t>
            </w:r>
          </w:p>
        </w:tc>
        <w:tc>
          <w:tcPr>
            <w:tcW w:w="1559" w:type="dxa"/>
          </w:tcPr>
          <w:p w:rsidR="00DE0733" w:rsidRPr="00273842" w:rsidRDefault="00DE0733" w:rsidP="002B5DFA">
            <w:pPr>
              <w:jc w:val="right"/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>0,00</w:t>
            </w:r>
          </w:p>
        </w:tc>
      </w:tr>
      <w:tr w:rsidR="00B42EB7" w:rsidRPr="00273842" w:rsidTr="00EC1471">
        <w:tc>
          <w:tcPr>
            <w:tcW w:w="5920" w:type="dxa"/>
            <w:shd w:val="clear" w:color="auto" w:fill="DAEEF3" w:themeFill="accent5" w:themeFillTint="33"/>
          </w:tcPr>
          <w:p w:rsidR="00DE0733" w:rsidRPr="00273842" w:rsidRDefault="00DE0733" w:rsidP="002A0BF1">
            <w:pPr>
              <w:rPr>
                <w:b/>
                <w:sz w:val="22"/>
                <w:szCs w:val="22"/>
                <w:lang w:val="hr-HR"/>
              </w:rPr>
            </w:pPr>
            <w:proofErr w:type="spellStart"/>
            <w:r w:rsidRPr="00273842">
              <w:rPr>
                <w:b/>
                <w:sz w:val="22"/>
                <w:szCs w:val="22"/>
                <w:lang w:val="hr-HR"/>
              </w:rPr>
              <w:t>A.Gotovi</w:t>
            </w:r>
            <w:r w:rsidR="004830FD" w:rsidRPr="00273842">
              <w:rPr>
                <w:b/>
                <w:sz w:val="22"/>
                <w:szCs w:val="22"/>
                <w:lang w:val="hr-HR"/>
              </w:rPr>
              <w:t>n</w:t>
            </w:r>
            <w:r w:rsidRPr="00273842">
              <w:rPr>
                <w:b/>
                <w:sz w:val="22"/>
                <w:szCs w:val="22"/>
                <w:lang w:val="hr-HR"/>
              </w:rPr>
              <w:t>a</w:t>
            </w:r>
            <w:proofErr w:type="spellEnd"/>
            <w:r w:rsidRPr="00273842">
              <w:rPr>
                <w:b/>
                <w:sz w:val="22"/>
                <w:szCs w:val="22"/>
                <w:lang w:val="hr-HR"/>
              </w:rPr>
              <w:t>, kratkoročna</w:t>
            </w:r>
            <w:r w:rsidR="004830FD" w:rsidRPr="00273842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273842">
              <w:rPr>
                <w:b/>
                <w:sz w:val="22"/>
                <w:szCs w:val="22"/>
                <w:lang w:val="hr-HR"/>
              </w:rPr>
              <w:t>potraživanja i zalihe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E0733" w:rsidRPr="00273842" w:rsidRDefault="00F96EFA" w:rsidP="004649A7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5.040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DE0733" w:rsidRPr="00273842" w:rsidRDefault="00F96EFA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2.806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E0733" w:rsidRPr="00273842" w:rsidRDefault="00DA1AED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289,00</w:t>
            </w:r>
          </w:p>
        </w:tc>
      </w:tr>
      <w:tr w:rsidR="00B42EB7" w:rsidRPr="00273842" w:rsidTr="00EC1471">
        <w:tc>
          <w:tcPr>
            <w:tcW w:w="5920" w:type="dxa"/>
          </w:tcPr>
          <w:p w:rsidR="00CA3DF9" w:rsidRPr="00273842" w:rsidRDefault="00CA3DF9" w:rsidP="002A0BF1">
            <w:pPr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>01100</w:t>
            </w:r>
            <w:r w:rsidR="002A0BF1" w:rsidRPr="00273842">
              <w:rPr>
                <w:sz w:val="22"/>
                <w:szCs w:val="22"/>
                <w:lang w:val="hr-HR"/>
              </w:rPr>
              <w:t>0</w:t>
            </w:r>
            <w:r w:rsidRPr="00273842">
              <w:rPr>
                <w:sz w:val="22"/>
                <w:szCs w:val="22"/>
                <w:lang w:val="hr-HR"/>
              </w:rPr>
              <w:t xml:space="preserve"> Stalna sredstva</w:t>
            </w:r>
          </w:p>
        </w:tc>
        <w:tc>
          <w:tcPr>
            <w:tcW w:w="1559" w:type="dxa"/>
          </w:tcPr>
          <w:p w:rsidR="00CA3DF9" w:rsidRPr="00E242DB" w:rsidRDefault="00F96EFA" w:rsidP="00E242DB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375.698</w:t>
            </w:r>
          </w:p>
        </w:tc>
        <w:tc>
          <w:tcPr>
            <w:tcW w:w="1560" w:type="dxa"/>
          </w:tcPr>
          <w:p w:rsidR="00CA3DF9" w:rsidRPr="00E242DB" w:rsidRDefault="0001583D" w:rsidP="002B5DFA">
            <w:pPr>
              <w:jc w:val="right"/>
              <w:rPr>
                <w:sz w:val="22"/>
                <w:szCs w:val="22"/>
                <w:lang w:val="hr-HR"/>
              </w:rPr>
            </w:pPr>
            <w:r w:rsidRPr="00E242DB">
              <w:rPr>
                <w:sz w:val="22"/>
                <w:szCs w:val="22"/>
                <w:lang w:val="hr-HR"/>
              </w:rPr>
              <w:t>362.467</w:t>
            </w:r>
          </w:p>
        </w:tc>
        <w:tc>
          <w:tcPr>
            <w:tcW w:w="1559" w:type="dxa"/>
          </w:tcPr>
          <w:p w:rsidR="00CA3DF9" w:rsidRPr="00E242DB" w:rsidRDefault="00CA3DF9" w:rsidP="00E242DB">
            <w:pPr>
              <w:jc w:val="right"/>
              <w:rPr>
                <w:sz w:val="22"/>
                <w:szCs w:val="22"/>
                <w:lang w:val="hr-HR"/>
              </w:rPr>
            </w:pPr>
            <w:r w:rsidRPr="00E242DB">
              <w:rPr>
                <w:sz w:val="22"/>
                <w:szCs w:val="22"/>
                <w:lang w:val="hr-HR"/>
              </w:rPr>
              <w:t>10</w:t>
            </w:r>
            <w:r w:rsidR="00E242DB" w:rsidRPr="00E242DB">
              <w:rPr>
                <w:sz w:val="22"/>
                <w:szCs w:val="22"/>
                <w:lang w:val="hr-HR"/>
              </w:rPr>
              <w:t>9</w:t>
            </w:r>
            <w:r w:rsidRPr="00E242DB">
              <w:rPr>
                <w:sz w:val="22"/>
                <w:szCs w:val="22"/>
                <w:lang w:val="hr-HR"/>
              </w:rPr>
              <w:t>,</w:t>
            </w:r>
            <w:r w:rsidR="00E242DB" w:rsidRPr="00E242DB">
              <w:rPr>
                <w:sz w:val="22"/>
                <w:szCs w:val="22"/>
                <w:lang w:val="hr-HR"/>
              </w:rPr>
              <w:t>68</w:t>
            </w:r>
          </w:p>
        </w:tc>
      </w:tr>
      <w:tr w:rsidR="00B42EB7" w:rsidRPr="00273842" w:rsidTr="00EC1471">
        <w:tc>
          <w:tcPr>
            <w:tcW w:w="5920" w:type="dxa"/>
          </w:tcPr>
          <w:p w:rsidR="00CA3DF9" w:rsidRPr="00273842" w:rsidRDefault="00CA3DF9" w:rsidP="002A0BF1">
            <w:pPr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>011900 Ispravka vr</w:t>
            </w:r>
            <w:r w:rsidR="00037527" w:rsidRPr="00273842">
              <w:rPr>
                <w:sz w:val="22"/>
                <w:szCs w:val="22"/>
                <w:lang w:val="hr-HR"/>
              </w:rPr>
              <w:t>ijednosti</w:t>
            </w:r>
            <w:r w:rsidRPr="00273842">
              <w:rPr>
                <w:sz w:val="22"/>
                <w:szCs w:val="22"/>
                <w:lang w:val="hr-HR"/>
              </w:rPr>
              <w:t xml:space="preserve"> stalnih sredstava</w:t>
            </w:r>
          </w:p>
        </w:tc>
        <w:tc>
          <w:tcPr>
            <w:tcW w:w="1559" w:type="dxa"/>
          </w:tcPr>
          <w:p w:rsidR="00CA3DF9" w:rsidRPr="004649A7" w:rsidRDefault="00F96EFA" w:rsidP="002B5DFA">
            <w:pPr>
              <w:jc w:val="right"/>
              <w:rPr>
                <w:color w:val="FF0000"/>
                <w:sz w:val="22"/>
                <w:szCs w:val="22"/>
                <w:lang w:val="hr-HR"/>
              </w:rPr>
            </w:pPr>
            <w:r w:rsidRPr="00F96EFA">
              <w:rPr>
                <w:sz w:val="22"/>
                <w:szCs w:val="22"/>
                <w:lang w:val="hr-HR"/>
              </w:rPr>
              <w:t>243.526</w:t>
            </w:r>
          </w:p>
        </w:tc>
        <w:tc>
          <w:tcPr>
            <w:tcW w:w="1560" w:type="dxa"/>
          </w:tcPr>
          <w:p w:rsidR="00CA3DF9" w:rsidRPr="00E242DB" w:rsidRDefault="00F96EFA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182.791</w:t>
            </w:r>
          </w:p>
        </w:tc>
        <w:tc>
          <w:tcPr>
            <w:tcW w:w="1559" w:type="dxa"/>
          </w:tcPr>
          <w:p w:rsidR="00CA3DF9" w:rsidRPr="00E242DB" w:rsidRDefault="00CA3DF9" w:rsidP="00E242DB">
            <w:pPr>
              <w:jc w:val="right"/>
              <w:rPr>
                <w:sz w:val="22"/>
                <w:szCs w:val="22"/>
                <w:lang w:val="hr-HR"/>
              </w:rPr>
            </w:pPr>
            <w:r w:rsidRPr="00E242DB">
              <w:rPr>
                <w:sz w:val="22"/>
                <w:szCs w:val="22"/>
                <w:lang w:val="hr-HR"/>
              </w:rPr>
              <w:t>1</w:t>
            </w:r>
            <w:r w:rsidR="00E242DB" w:rsidRPr="00E242DB">
              <w:rPr>
                <w:sz w:val="22"/>
                <w:szCs w:val="22"/>
                <w:lang w:val="hr-HR"/>
              </w:rPr>
              <w:t>36,55</w:t>
            </w:r>
          </w:p>
        </w:tc>
      </w:tr>
      <w:tr w:rsidR="00B42EB7" w:rsidRPr="00273842" w:rsidTr="00EC1471">
        <w:tc>
          <w:tcPr>
            <w:tcW w:w="5920" w:type="dxa"/>
            <w:shd w:val="clear" w:color="auto" w:fill="DAEEF3" w:themeFill="accent5" w:themeFillTint="33"/>
          </w:tcPr>
          <w:p w:rsidR="00CA3DF9" w:rsidRPr="00273842" w:rsidRDefault="00CA3DF9" w:rsidP="00B0294C">
            <w:pPr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 xml:space="preserve">B. Stalna sredstva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A3DF9" w:rsidRPr="00E242DB" w:rsidRDefault="00F96EFA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132.172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CA3DF9" w:rsidRPr="00E242DB" w:rsidRDefault="00F96EFA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179.676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A3DF9" w:rsidRPr="00E242DB" w:rsidRDefault="00E242DB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 w:rsidRPr="00E242DB">
              <w:rPr>
                <w:b/>
                <w:sz w:val="22"/>
                <w:szCs w:val="22"/>
                <w:lang w:val="hr-HR"/>
              </w:rPr>
              <w:t>85,00</w:t>
            </w:r>
          </w:p>
        </w:tc>
      </w:tr>
      <w:tr w:rsidR="00B42EB7" w:rsidRPr="00273842" w:rsidTr="00EC1471">
        <w:tc>
          <w:tcPr>
            <w:tcW w:w="5920" w:type="dxa"/>
            <w:shd w:val="clear" w:color="auto" w:fill="BFBFBF" w:themeFill="background1" w:themeFillShade="BF"/>
          </w:tcPr>
          <w:p w:rsidR="00DE0733" w:rsidRPr="00273842" w:rsidRDefault="00DE0733" w:rsidP="00B0294C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>AKTIVA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E0733" w:rsidRPr="004649A7" w:rsidRDefault="006A2652" w:rsidP="00DB24D1">
            <w:pPr>
              <w:jc w:val="right"/>
              <w:rPr>
                <w:b/>
                <w:color w:val="FF0000"/>
                <w:sz w:val="22"/>
                <w:szCs w:val="22"/>
                <w:lang w:val="hr-HR"/>
              </w:rPr>
            </w:pPr>
            <w:r w:rsidRPr="006A2652">
              <w:rPr>
                <w:b/>
                <w:sz w:val="22"/>
                <w:szCs w:val="22"/>
                <w:lang w:val="hr-HR"/>
              </w:rPr>
              <w:t>137.21</w:t>
            </w:r>
            <w:r w:rsidR="00DB24D1">
              <w:rPr>
                <w:b/>
                <w:sz w:val="22"/>
                <w:szCs w:val="22"/>
                <w:lang w:val="hr-HR"/>
              </w:rPr>
              <w:t>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DE0733" w:rsidRPr="004649A7" w:rsidRDefault="006A2652" w:rsidP="002B5DFA">
            <w:pPr>
              <w:jc w:val="right"/>
              <w:rPr>
                <w:b/>
                <w:color w:val="FF0000"/>
                <w:sz w:val="22"/>
                <w:szCs w:val="22"/>
                <w:lang w:val="hr-HR"/>
              </w:rPr>
            </w:pPr>
            <w:r w:rsidRPr="006A2652">
              <w:rPr>
                <w:b/>
                <w:sz w:val="22"/>
                <w:szCs w:val="22"/>
                <w:lang w:val="hr-HR"/>
              </w:rPr>
              <w:t>182.482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DE0733" w:rsidRPr="004649A7" w:rsidRDefault="00E242DB" w:rsidP="002B5DFA">
            <w:pPr>
              <w:jc w:val="right"/>
              <w:rPr>
                <w:b/>
                <w:color w:val="FF0000"/>
                <w:sz w:val="22"/>
                <w:szCs w:val="22"/>
                <w:lang w:val="hr-HR"/>
              </w:rPr>
            </w:pPr>
            <w:r w:rsidRPr="00E242DB">
              <w:rPr>
                <w:b/>
                <w:sz w:val="22"/>
                <w:szCs w:val="22"/>
                <w:lang w:val="hr-HR"/>
              </w:rPr>
              <w:t>87,50</w:t>
            </w:r>
          </w:p>
        </w:tc>
      </w:tr>
      <w:tr w:rsidR="00B42EB7" w:rsidRPr="00273842" w:rsidTr="00EC1471">
        <w:tc>
          <w:tcPr>
            <w:tcW w:w="5920" w:type="dxa"/>
          </w:tcPr>
          <w:p w:rsidR="00DE0733" w:rsidRPr="00273842" w:rsidRDefault="00DE0733" w:rsidP="002A0BF1">
            <w:pPr>
              <w:jc w:val="both"/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>310000 Kratkoročne tekuće obaveze</w:t>
            </w:r>
          </w:p>
        </w:tc>
        <w:tc>
          <w:tcPr>
            <w:tcW w:w="1559" w:type="dxa"/>
          </w:tcPr>
          <w:p w:rsidR="00DE0733" w:rsidRPr="00E242DB" w:rsidRDefault="006A2652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19.087</w:t>
            </w:r>
          </w:p>
        </w:tc>
        <w:tc>
          <w:tcPr>
            <w:tcW w:w="1560" w:type="dxa"/>
          </w:tcPr>
          <w:p w:rsidR="00DE0733" w:rsidRPr="00E242DB" w:rsidRDefault="006A2652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46.362</w:t>
            </w:r>
          </w:p>
        </w:tc>
        <w:tc>
          <w:tcPr>
            <w:tcW w:w="1559" w:type="dxa"/>
          </w:tcPr>
          <w:p w:rsidR="00DE0733" w:rsidRPr="004649A7" w:rsidRDefault="0059057D" w:rsidP="002B5DFA">
            <w:pPr>
              <w:jc w:val="right"/>
              <w:rPr>
                <w:color w:val="FF0000"/>
                <w:sz w:val="22"/>
                <w:szCs w:val="22"/>
                <w:lang w:val="hr-HR"/>
              </w:rPr>
            </w:pPr>
            <w:r w:rsidRPr="0059057D">
              <w:rPr>
                <w:sz w:val="22"/>
                <w:szCs w:val="22"/>
                <w:lang w:val="hr-HR"/>
              </w:rPr>
              <w:t>105,22</w:t>
            </w:r>
          </w:p>
        </w:tc>
      </w:tr>
      <w:tr w:rsidR="00B42EB7" w:rsidRPr="00273842" w:rsidTr="00EC1471">
        <w:tc>
          <w:tcPr>
            <w:tcW w:w="5920" w:type="dxa"/>
          </w:tcPr>
          <w:p w:rsidR="00DE0733" w:rsidRPr="00273842" w:rsidRDefault="00DE0733" w:rsidP="002A0BF1">
            <w:pPr>
              <w:jc w:val="both"/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>340000 Obaveze prema radnicima</w:t>
            </w:r>
          </w:p>
        </w:tc>
        <w:tc>
          <w:tcPr>
            <w:tcW w:w="1559" w:type="dxa"/>
          </w:tcPr>
          <w:p w:rsidR="00DE0733" w:rsidRPr="00E242DB" w:rsidRDefault="006A2652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104.810</w:t>
            </w:r>
          </w:p>
        </w:tc>
        <w:tc>
          <w:tcPr>
            <w:tcW w:w="1560" w:type="dxa"/>
          </w:tcPr>
          <w:p w:rsidR="00DE0733" w:rsidRPr="00E242DB" w:rsidRDefault="0001583D" w:rsidP="006A2652">
            <w:pPr>
              <w:jc w:val="right"/>
              <w:rPr>
                <w:sz w:val="22"/>
                <w:szCs w:val="22"/>
                <w:lang w:val="hr-HR"/>
              </w:rPr>
            </w:pPr>
            <w:r w:rsidRPr="00E242DB">
              <w:rPr>
                <w:sz w:val="22"/>
                <w:szCs w:val="22"/>
                <w:lang w:val="hr-HR"/>
              </w:rPr>
              <w:t>9</w:t>
            </w:r>
            <w:r w:rsidR="006A2652">
              <w:rPr>
                <w:sz w:val="22"/>
                <w:szCs w:val="22"/>
                <w:lang w:val="hr-HR"/>
              </w:rPr>
              <w:t>3.872</w:t>
            </w:r>
          </w:p>
        </w:tc>
        <w:tc>
          <w:tcPr>
            <w:tcW w:w="1559" w:type="dxa"/>
          </w:tcPr>
          <w:p w:rsidR="00DE0733" w:rsidRPr="004649A7" w:rsidRDefault="0059057D" w:rsidP="002B5DFA">
            <w:pPr>
              <w:jc w:val="right"/>
              <w:rPr>
                <w:color w:val="FF0000"/>
                <w:sz w:val="22"/>
                <w:szCs w:val="22"/>
                <w:lang w:val="hr-HR"/>
              </w:rPr>
            </w:pPr>
            <w:r w:rsidRPr="0059057D">
              <w:rPr>
                <w:sz w:val="22"/>
                <w:szCs w:val="22"/>
                <w:lang w:val="hr-HR"/>
              </w:rPr>
              <w:t>108,30</w:t>
            </w:r>
          </w:p>
        </w:tc>
      </w:tr>
      <w:tr w:rsidR="006A2652" w:rsidRPr="00273842" w:rsidTr="00EC1471">
        <w:tc>
          <w:tcPr>
            <w:tcW w:w="5920" w:type="dxa"/>
          </w:tcPr>
          <w:p w:rsidR="006A2652" w:rsidRPr="00273842" w:rsidRDefault="006A2652" w:rsidP="002A0BF1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390000 Kratkoročna razgraničenja</w:t>
            </w:r>
          </w:p>
        </w:tc>
        <w:tc>
          <w:tcPr>
            <w:tcW w:w="1559" w:type="dxa"/>
          </w:tcPr>
          <w:p w:rsidR="006A2652" w:rsidRDefault="006A2652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407</w:t>
            </w:r>
          </w:p>
        </w:tc>
        <w:tc>
          <w:tcPr>
            <w:tcW w:w="1560" w:type="dxa"/>
          </w:tcPr>
          <w:p w:rsidR="006A2652" w:rsidRPr="00E242DB" w:rsidRDefault="006A2652" w:rsidP="006A2652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375</w:t>
            </w:r>
          </w:p>
        </w:tc>
        <w:tc>
          <w:tcPr>
            <w:tcW w:w="1559" w:type="dxa"/>
          </w:tcPr>
          <w:p w:rsidR="006A2652" w:rsidRPr="0059057D" w:rsidRDefault="006A2652" w:rsidP="002B5DFA">
            <w:pPr>
              <w:jc w:val="right"/>
              <w:rPr>
                <w:sz w:val="22"/>
                <w:szCs w:val="22"/>
                <w:lang w:val="hr-HR"/>
              </w:rPr>
            </w:pPr>
          </w:p>
        </w:tc>
      </w:tr>
      <w:tr w:rsidR="00B42EB7" w:rsidRPr="00273842" w:rsidTr="00EC1471">
        <w:tc>
          <w:tcPr>
            <w:tcW w:w="5920" w:type="dxa"/>
            <w:shd w:val="clear" w:color="auto" w:fill="DAEEF3" w:themeFill="accent5" w:themeFillTint="33"/>
          </w:tcPr>
          <w:p w:rsidR="00DE0733" w:rsidRPr="00273842" w:rsidRDefault="00DE0733" w:rsidP="00DE0733">
            <w:pPr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 xml:space="preserve">A. Kratkoročne obaveze razgraničenja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E0733" w:rsidRPr="00E242DB" w:rsidRDefault="006A2652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124.304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DE0733" w:rsidRPr="00E242DB" w:rsidRDefault="006A2652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140.609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E0733" w:rsidRPr="004649A7" w:rsidRDefault="0059057D" w:rsidP="002B5DFA">
            <w:pPr>
              <w:jc w:val="right"/>
              <w:rPr>
                <w:b/>
                <w:color w:val="FF0000"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108,17</w:t>
            </w:r>
          </w:p>
        </w:tc>
      </w:tr>
      <w:tr w:rsidR="00B42EB7" w:rsidRPr="00273842" w:rsidTr="00EC1471">
        <w:tc>
          <w:tcPr>
            <w:tcW w:w="5920" w:type="dxa"/>
          </w:tcPr>
          <w:p w:rsidR="00DE0733" w:rsidRPr="00273842" w:rsidRDefault="00DE0733" w:rsidP="00284499">
            <w:pPr>
              <w:jc w:val="both"/>
              <w:rPr>
                <w:sz w:val="22"/>
                <w:szCs w:val="22"/>
                <w:lang w:val="hr-HR"/>
              </w:rPr>
            </w:pPr>
            <w:r w:rsidRPr="00273842">
              <w:rPr>
                <w:sz w:val="22"/>
                <w:szCs w:val="22"/>
                <w:lang w:val="hr-HR"/>
              </w:rPr>
              <w:t xml:space="preserve">510 000 Izvori stalnih sredstava </w:t>
            </w:r>
          </w:p>
        </w:tc>
        <w:tc>
          <w:tcPr>
            <w:tcW w:w="1559" w:type="dxa"/>
          </w:tcPr>
          <w:p w:rsidR="00DE0733" w:rsidRPr="00E242DB" w:rsidRDefault="006A2652" w:rsidP="002B5DFA">
            <w:pPr>
              <w:jc w:val="righ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132.172</w:t>
            </w:r>
          </w:p>
        </w:tc>
        <w:tc>
          <w:tcPr>
            <w:tcW w:w="1560" w:type="dxa"/>
          </w:tcPr>
          <w:p w:rsidR="00DE0733" w:rsidRPr="00E242DB" w:rsidRDefault="006A2652" w:rsidP="006A2652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179.676</w:t>
            </w:r>
          </w:p>
        </w:tc>
        <w:tc>
          <w:tcPr>
            <w:tcW w:w="1559" w:type="dxa"/>
          </w:tcPr>
          <w:p w:rsidR="00DE0733" w:rsidRPr="0059057D" w:rsidRDefault="0059057D" w:rsidP="002B5DFA">
            <w:pPr>
              <w:jc w:val="right"/>
              <w:rPr>
                <w:sz w:val="22"/>
                <w:szCs w:val="22"/>
                <w:lang w:val="hr-HR"/>
              </w:rPr>
            </w:pPr>
            <w:r w:rsidRPr="0059057D">
              <w:rPr>
                <w:sz w:val="22"/>
                <w:szCs w:val="22"/>
                <w:lang w:val="hr-HR"/>
              </w:rPr>
              <w:t>85,74</w:t>
            </w:r>
          </w:p>
        </w:tc>
      </w:tr>
      <w:tr w:rsidR="00B42EB7" w:rsidRPr="00273842" w:rsidTr="00EC1471">
        <w:tc>
          <w:tcPr>
            <w:tcW w:w="5920" w:type="dxa"/>
            <w:shd w:val="clear" w:color="auto" w:fill="DAEEF3" w:themeFill="accent5" w:themeFillTint="33"/>
          </w:tcPr>
          <w:p w:rsidR="00CA3DF9" w:rsidRPr="00273842" w:rsidRDefault="00CA3DF9" w:rsidP="00284499">
            <w:pPr>
              <w:jc w:val="both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 xml:space="preserve">B. Izvori stalnih sredstava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A3DF9" w:rsidRPr="00E242DB" w:rsidRDefault="006A2652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132.172</w:t>
            </w:r>
          </w:p>
        </w:tc>
        <w:tc>
          <w:tcPr>
            <w:tcW w:w="1560" w:type="dxa"/>
            <w:shd w:val="clear" w:color="auto" w:fill="DAEEF3" w:themeFill="accent5" w:themeFillTint="33"/>
          </w:tcPr>
          <w:p w:rsidR="00CA3DF9" w:rsidRPr="00E242DB" w:rsidRDefault="006A2652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179.676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CA3DF9" w:rsidRPr="0059057D" w:rsidRDefault="0059057D" w:rsidP="003F45A5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85,7</w:t>
            </w:r>
            <w:r w:rsidR="003F45A5">
              <w:rPr>
                <w:b/>
                <w:sz w:val="22"/>
                <w:szCs w:val="22"/>
                <w:lang w:val="hr-HR"/>
              </w:rPr>
              <w:t>4</w:t>
            </w:r>
          </w:p>
        </w:tc>
      </w:tr>
      <w:tr w:rsidR="00B42EB7" w:rsidRPr="00273842" w:rsidTr="00EC1471">
        <w:tc>
          <w:tcPr>
            <w:tcW w:w="5920" w:type="dxa"/>
            <w:shd w:val="clear" w:color="auto" w:fill="BFBFBF" w:themeFill="background1" w:themeFillShade="BF"/>
          </w:tcPr>
          <w:p w:rsidR="00CA3DF9" w:rsidRPr="00273842" w:rsidRDefault="00CA3DF9" w:rsidP="00DE073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273842">
              <w:rPr>
                <w:b/>
                <w:sz w:val="22"/>
                <w:szCs w:val="22"/>
                <w:lang w:val="hr-HR"/>
              </w:rPr>
              <w:t>PASIVA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A3DF9" w:rsidRPr="00273842" w:rsidRDefault="00DB24D1" w:rsidP="00E242DB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256.477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A3DF9" w:rsidRPr="00273842" w:rsidRDefault="006A2652" w:rsidP="004649A7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320.28</w:t>
            </w:r>
            <w:r w:rsidR="00DB24D1">
              <w:rPr>
                <w:b/>
                <w:sz w:val="22"/>
                <w:szCs w:val="22"/>
                <w:lang w:val="hr-HR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A3DF9" w:rsidRPr="0059057D" w:rsidRDefault="0059057D" w:rsidP="002B5DFA">
            <w:pPr>
              <w:jc w:val="right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93,29</w:t>
            </w:r>
          </w:p>
        </w:tc>
      </w:tr>
    </w:tbl>
    <w:p w:rsidR="00273842" w:rsidRPr="00EC1471" w:rsidRDefault="00273842" w:rsidP="00284499">
      <w:pPr>
        <w:jc w:val="both"/>
        <w:rPr>
          <w:sz w:val="8"/>
          <w:szCs w:val="16"/>
          <w:lang w:val="hr-HR"/>
        </w:rPr>
      </w:pPr>
    </w:p>
    <w:p w:rsidR="005E72A3" w:rsidRPr="005D3F7D" w:rsidRDefault="00CB594D" w:rsidP="00284499">
      <w:pPr>
        <w:jc w:val="both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</w:t>
      </w:r>
      <w:r w:rsidR="004830FD" w:rsidRPr="00273842">
        <w:rPr>
          <w:b/>
          <w:sz w:val="22"/>
          <w:szCs w:val="22"/>
          <w:lang w:val="hr-HR"/>
        </w:rPr>
        <w:t>rup</w:t>
      </w:r>
      <w:r w:rsidR="002B5DFA" w:rsidRPr="00273842">
        <w:rPr>
          <w:b/>
          <w:sz w:val="22"/>
          <w:szCs w:val="22"/>
          <w:lang w:val="hr-HR"/>
        </w:rPr>
        <w:t>a</w:t>
      </w:r>
      <w:r w:rsidR="004830FD" w:rsidRPr="00273842">
        <w:rPr>
          <w:b/>
          <w:sz w:val="22"/>
          <w:szCs w:val="22"/>
          <w:lang w:val="hr-HR"/>
        </w:rPr>
        <w:t xml:space="preserve"> A. Gotovina</w:t>
      </w:r>
      <w:r w:rsidR="002B5DFA" w:rsidRPr="00273842">
        <w:rPr>
          <w:b/>
          <w:sz w:val="22"/>
          <w:szCs w:val="22"/>
          <w:lang w:val="hr-HR"/>
        </w:rPr>
        <w:t>,</w:t>
      </w:r>
      <w:r w:rsidR="004830FD" w:rsidRPr="00273842">
        <w:rPr>
          <w:b/>
          <w:sz w:val="22"/>
          <w:szCs w:val="22"/>
          <w:lang w:val="hr-HR"/>
        </w:rPr>
        <w:t xml:space="preserve"> kratkoročna potraživanja</w:t>
      </w:r>
      <w:r w:rsidR="004830FD" w:rsidRPr="00273842">
        <w:rPr>
          <w:sz w:val="22"/>
          <w:szCs w:val="22"/>
          <w:lang w:val="hr-HR"/>
        </w:rPr>
        <w:t xml:space="preserve"> </w:t>
      </w:r>
      <w:r w:rsidR="002B5DFA" w:rsidRPr="00273842">
        <w:rPr>
          <w:b/>
          <w:sz w:val="22"/>
          <w:szCs w:val="22"/>
          <w:lang w:val="hr-HR"/>
        </w:rPr>
        <w:t>i zalihe</w:t>
      </w:r>
      <w:r w:rsidR="002B5DFA" w:rsidRPr="0027384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sastoji se od </w:t>
      </w:r>
      <w:proofErr w:type="spellStart"/>
      <w:r>
        <w:rPr>
          <w:sz w:val="22"/>
          <w:szCs w:val="22"/>
          <w:lang w:val="hr-HR"/>
        </w:rPr>
        <w:t>evidentirancije</w:t>
      </w:r>
      <w:proofErr w:type="spellEnd"/>
      <w:r>
        <w:rPr>
          <w:sz w:val="22"/>
          <w:szCs w:val="22"/>
          <w:lang w:val="hr-HR"/>
        </w:rPr>
        <w:t xml:space="preserve"> novčanih </w:t>
      </w:r>
      <w:r w:rsidR="004C7F5E" w:rsidRPr="00273842">
        <w:rPr>
          <w:sz w:val="22"/>
          <w:szCs w:val="22"/>
          <w:lang w:val="hr-HR"/>
        </w:rPr>
        <w:t xml:space="preserve"> sredstva u B</w:t>
      </w:r>
      <w:r w:rsidR="0059057D">
        <w:rPr>
          <w:sz w:val="22"/>
          <w:szCs w:val="22"/>
          <w:lang w:val="hr-HR"/>
        </w:rPr>
        <w:t xml:space="preserve">lagajni u iznosu od </w:t>
      </w:r>
      <w:r w:rsidR="00F32CB4">
        <w:rPr>
          <w:sz w:val="22"/>
          <w:szCs w:val="22"/>
          <w:lang w:val="hr-HR"/>
        </w:rPr>
        <w:t xml:space="preserve"> 2.</w:t>
      </w:r>
      <w:r w:rsidR="00CF3938">
        <w:rPr>
          <w:sz w:val="22"/>
          <w:szCs w:val="22"/>
          <w:lang w:val="hr-HR"/>
        </w:rPr>
        <w:t xml:space="preserve">967 </w:t>
      </w:r>
      <w:r w:rsidR="004830FD" w:rsidRPr="00273842">
        <w:rPr>
          <w:sz w:val="22"/>
          <w:szCs w:val="22"/>
          <w:lang w:val="hr-HR"/>
        </w:rPr>
        <w:t>KM</w:t>
      </w:r>
      <w:r w:rsidR="0059057D">
        <w:rPr>
          <w:sz w:val="22"/>
          <w:szCs w:val="22"/>
          <w:lang w:val="hr-HR"/>
        </w:rPr>
        <w:t xml:space="preserve"> i kratkoročnih potraživanja u iznosu od </w:t>
      </w:r>
      <w:r w:rsidR="00F32CB4">
        <w:rPr>
          <w:sz w:val="22"/>
          <w:szCs w:val="22"/>
          <w:lang w:val="hr-HR"/>
        </w:rPr>
        <w:t>2.</w:t>
      </w:r>
      <w:r w:rsidR="00CF3938">
        <w:rPr>
          <w:sz w:val="22"/>
          <w:szCs w:val="22"/>
          <w:lang w:val="hr-HR"/>
        </w:rPr>
        <w:t>074</w:t>
      </w:r>
      <w:r w:rsidR="0059057D">
        <w:rPr>
          <w:sz w:val="22"/>
          <w:szCs w:val="22"/>
          <w:lang w:val="hr-HR"/>
        </w:rPr>
        <w:t xml:space="preserve"> KM</w:t>
      </w:r>
      <w:r w:rsidR="00EE1788">
        <w:rPr>
          <w:sz w:val="22"/>
          <w:szCs w:val="22"/>
          <w:lang w:val="hr-HR"/>
        </w:rPr>
        <w:t xml:space="preserve">. </w:t>
      </w:r>
      <w:r>
        <w:rPr>
          <w:sz w:val="22"/>
          <w:szCs w:val="22"/>
          <w:lang w:val="hr-HR"/>
        </w:rPr>
        <w:t>Dio ovih</w:t>
      </w:r>
      <w:r w:rsidR="00EE1788">
        <w:rPr>
          <w:sz w:val="22"/>
          <w:szCs w:val="22"/>
          <w:lang w:val="hr-HR"/>
        </w:rPr>
        <w:t xml:space="preserve"> potraživanja</w:t>
      </w:r>
      <w:r>
        <w:rPr>
          <w:sz w:val="22"/>
          <w:szCs w:val="22"/>
          <w:lang w:val="hr-HR"/>
        </w:rPr>
        <w:t xml:space="preserve"> odnosi</w:t>
      </w:r>
      <w:r w:rsidR="00EE1788">
        <w:rPr>
          <w:sz w:val="22"/>
          <w:szCs w:val="22"/>
          <w:lang w:val="hr-HR"/>
        </w:rPr>
        <w:t xml:space="preserve"> se</w:t>
      </w:r>
      <w:r w:rsidR="0059057D">
        <w:rPr>
          <w:sz w:val="22"/>
          <w:szCs w:val="22"/>
          <w:lang w:val="hr-HR"/>
        </w:rPr>
        <w:t xml:space="preserve"> na Prelazni račun potraživanja gdje je knjižen </w:t>
      </w:r>
      <w:r w:rsidR="00075BAF">
        <w:rPr>
          <w:sz w:val="22"/>
          <w:szCs w:val="22"/>
          <w:lang w:val="hr-HR"/>
        </w:rPr>
        <w:t xml:space="preserve"> a nije </w:t>
      </w:r>
      <w:proofErr w:type="spellStart"/>
      <w:r w:rsidR="00075BAF">
        <w:rPr>
          <w:sz w:val="22"/>
          <w:szCs w:val="22"/>
          <w:lang w:val="hr-HR"/>
        </w:rPr>
        <w:t>realizovan</w:t>
      </w:r>
      <w:proofErr w:type="spellEnd"/>
      <w:r w:rsidR="00075BAF">
        <w:rPr>
          <w:sz w:val="22"/>
          <w:szCs w:val="22"/>
          <w:lang w:val="hr-HR"/>
        </w:rPr>
        <w:t xml:space="preserve"> </w:t>
      </w:r>
      <w:r w:rsidR="0059057D">
        <w:rPr>
          <w:sz w:val="22"/>
          <w:szCs w:val="22"/>
          <w:lang w:val="hr-HR"/>
        </w:rPr>
        <w:t>odbitak jednog zaposlenog po osnovu prekoračenja  odobrenog iznosa za fiksni telefo</w:t>
      </w:r>
      <w:r w:rsidR="00F32CB4">
        <w:rPr>
          <w:sz w:val="22"/>
          <w:szCs w:val="22"/>
          <w:lang w:val="hr-HR"/>
        </w:rPr>
        <w:t>n</w:t>
      </w:r>
      <w:r>
        <w:rPr>
          <w:sz w:val="22"/>
          <w:szCs w:val="22"/>
          <w:lang w:val="hr-HR"/>
        </w:rPr>
        <w:t xml:space="preserve"> u iznosu od 19,37 KM i  nenaplaćenih troškova </w:t>
      </w:r>
      <w:proofErr w:type="spellStart"/>
      <w:r>
        <w:rPr>
          <w:sz w:val="22"/>
          <w:szCs w:val="22"/>
          <w:lang w:val="hr-HR"/>
        </w:rPr>
        <w:t>prevoza</w:t>
      </w:r>
      <w:proofErr w:type="spellEnd"/>
      <w:r>
        <w:rPr>
          <w:sz w:val="22"/>
          <w:szCs w:val="22"/>
          <w:lang w:val="hr-HR"/>
        </w:rPr>
        <w:t xml:space="preserve"> od organizatora</w:t>
      </w:r>
      <w:r w:rsidR="00F32CB4">
        <w:rPr>
          <w:sz w:val="22"/>
          <w:szCs w:val="22"/>
          <w:lang w:val="hr-HR"/>
        </w:rPr>
        <w:t xml:space="preserve"> jednog </w:t>
      </w:r>
      <w:r>
        <w:rPr>
          <w:sz w:val="22"/>
          <w:szCs w:val="22"/>
          <w:lang w:val="hr-HR"/>
        </w:rPr>
        <w:t xml:space="preserve"> službenog putovanja u iznosu od 344</w:t>
      </w:r>
      <w:r w:rsidR="00F32CB4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84 KM.</w:t>
      </w:r>
      <w:r w:rsidR="00FE3588">
        <w:rPr>
          <w:sz w:val="22"/>
          <w:szCs w:val="22"/>
          <w:lang w:val="hr-HR"/>
        </w:rPr>
        <w:t xml:space="preserve"> </w:t>
      </w:r>
      <w:proofErr w:type="spellStart"/>
      <w:r w:rsidR="00FE3588">
        <w:rPr>
          <w:sz w:val="22"/>
          <w:szCs w:val="22"/>
          <w:lang w:val="hr-HR"/>
        </w:rPr>
        <w:t>Takođe</w:t>
      </w:r>
      <w:proofErr w:type="spellEnd"/>
      <w:r w:rsidR="00FE3588">
        <w:rPr>
          <w:sz w:val="22"/>
          <w:szCs w:val="22"/>
          <w:lang w:val="hr-HR"/>
        </w:rPr>
        <w:t xml:space="preserve"> je na kontu potraživanja za refundaciju naknada za bolovanje evidentiran</w:t>
      </w:r>
      <w:r w:rsidR="00F32CB4">
        <w:rPr>
          <w:sz w:val="22"/>
          <w:szCs w:val="22"/>
          <w:lang w:val="hr-HR"/>
        </w:rPr>
        <w:t xml:space="preserve"> </w:t>
      </w:r>
      <w:r w:rsidR="00FE3588">
        <w:rPr>
          <w:sz w:val="22"/>
          <w:szCs w:val="22"/>
          <w:lang w:val="hr-HR"/>
        </w:rPr>
        <w:t xml:space="preserve"> iznos  od 1.651,97 KM</w:t>
      </w:r>
      <w:r w:rsidR="005003AF">
        <w:rPr>
          <w:sz w:val="22"/>
          <w:szCs w:val="22"/>
          <w:lang w:val="hr-HR"/>
        </w:rPr>
        <w:t xml:space="preserve"> </w:t>
      </w:r>
      <w:r w:rsidR="00F32CB4">
        <w:rPr>
          <w:sz w:val="22"/>
          <w:szCs w:val="22"/>
          <w:lang w:val="hr-HR"/>
        </w:rPr>
        <w:t xml:space="preserve"> koji je </w:t>
      </w:r>
      <w:proofErr w:type="spellStart"/>
      <w:r w:rsidR="00F32CB4">
        <w:rPr>
          <w:sz w:val="22"/>
          <w:szCs w:val="22"/>
          <w:lang w:val="hr-HR"/>
        </w:rPr>
        <w:t>usaglašen</w:t>
      </w:r>
      <w:proofErr w:type="spellEnd"/>
      <w:r w:rsidR="00F32CB4">
        <w:rPr>
          <w:sz w:val="22"/>
          <w:szCs w:val="22"/>
          <w:lang w:val="hr-HR"/>
        </w:rPr>
        <w:t xml:space="preserve"> sa Fondom zdravstvenog osiguranja </w:t>
      </w:r>
      <w:r w:rsidR="00FE3588">
        <w:rPr>
          <w:sz w:val="22"/>
          <w:szCs w:val="22"/>
          <w:lang w:val="hr-HR"/>
        </w:rPr>
        <w:t xml:space="preserve"> po osnovu </w:t>
      </w:r>
      <w:r w:rsidR="00F32CB4">
        <w:rPr>
          <w:sz w:val="22"/>
          <w:szCs w:val="22"/>
          <w:lang w:val="hr-HR"/>
        </w:rPr>
        <w:t xml:space="preserve">refundacije bolovanja preko 42 dana za jednog </w:t>
      </w:r>
      <w:r w:rsidR="00921296">
        <w:rPr>
          <w:sz w:val="22"/>
          <w:szCs w:val="22"/>
          <w:lang w:val="hr-HR"/>
        </w:rPr>
        <w:t>korisnika</w:t>
      </w:r>
      <w:r w:rsidR="005003AF">
        <w:rPr>
          <w:sz w:val="22"/>
          <w:szCs w:val="22"/>
          <w:lang w:val="hr-HR"/>
        </w:rPr>
        <w:t>,</w:t>
      </w:r>
      <w:r w:rsidR="00921296">
        <w:rPr>
          <w:sz w:val="22"/>
          <w:szCs w:val="22"/>
          <w:lang w:val="hr-HR"/>
        </w:rPr>
        <w:t xml:space="preserve"> za tri zadnja mjeseca u 2017. godini.</w:t>
      </w:r>
      <w:r>
        <w:rPr>
          <w:sz w:val="22"/>
          <w:szCs w:val="22"/>
          <w:lang w:val="hr-HR"/>
        </w:rPr>
        <w:t xml:space="preserve"> Ostatak sredstava na poziciji kratkoročnih potraživanja</w:t>
      </w:r>
      <w:r w:rsidR="00BB4199">
        <w:rPr>
          <w:sz w:val="22"/>
          <w:szCs w:val="22"/>
          <w:lang w:val="hr-HR"/>
        </w:rPr>
        <w:t xml:space="preserve"> 37,50 KM</w:t>
      </w:r>
      <w:r>
        <w:rPr>
          <w:sz w:val="22"/>
          <w:szCs w:val="22"/>
          <w:lang w:val="hr-HR"/>
        </w:rPr>
        <w:t xml:space="preserve"> odnosi se</w:t>
      </w:r>
      <w:r w:rsidR="00693069">
        <w:rPr>
          <w:sz w:val="22"/>
          <w:szCs w:val="22"/>
          <w:lang w:val="hr-HR"/>
        </w:rPr>
        <w:t xml:space="preserve"> na</w:t>
      </w:r>
      <w:r>
        <w:rPr>
          <w:sz w:val="22"/>
          <w:szCs w:val="22"/>
          <w:lang w:val="hr-HR"/>
        </w:rPr>
        <w:t xml:space="preserve"> potraživanja od osiguravajuće kuće po osnovu šte</w:t>
      </w:r>
      <w:r w:rsidR="00F32CB4">
        <w:rPr>
          <w:sz w:val="22"/>
          <w:szCs w:val="22"/>
          <w:lang w:val="hr-HR"/>
        </w:rPr>
        <w:t>te na službenom vozilu Agencije</w:t>
      </w:r>
      <w:r>
        <w:rPr>
          <w:sz w:val="22"/>
          <w:szCs w:val="22"/>
          <w:lang w:val="hr-HR"/>
        </w:rPr>
        <w:t xml:space="preserve">. </w:t>
      </w:r>
    </w:p>
    <w:p w:rsidR="00EC1471" w:rsidRPr="00EC1471" w:rsidRDefault="00EC1471" w:rsidP="00284499">
      <w:pPr>
        <w:jc w:val="both"/>
        <w:rPr>
          <w:b/>
          <w:sz w:val="8"/>
          <w:szCs w:val="22"/>
          <w:lang w:val="hr-HR"/>
        </w:rPr>
      </w:pPr>
    </w:p>
    <w:p w:rsidR="005E72A3" w:rsidRPr="005D3F7D" w:rsidRDefault="002B5DFA" w:rsidP="00284499">
      <w:pPr>
        <w:jc w:val="both"/>
        <w:rPr>
          <w:sz w:val="22"/>
          <w:szCs w:val="22"/>
          <w:lang w:val="hr-HR"/>
        </w:rPr>
      </w:pPr>
      <w:r w:rsidRPr="00273842">
        <w:rPr>
          <w:b/>
          <w:sz w:val="22"/>
          <w:szCs w:val="22"/>
          <w:lang w:val="hr-HR"/>
        </w:rPr>
        <w:t>P</w:t>
      </w:r>
      <w:r w:rsidR="00CA3DF9" w:rsidRPr="00273842">
        <w:rPr>
          <w:b/>
          <w:sz w:val="22"/>
          <w:szCs w:val="22"/>
          <w:lang w:val="hr-HR"/>
        </w:rPr>
        <w:t>ozicij</w:t>
      </w:r>
      <w:r w:rsidRPr="00273842">
        <w:rPr>
          <w:b/>
          <w:sz w:val="22"/>
          <w:szCs w:val="22"/>
          <w:lang w:val="hr-HR"/>
        </w:rPr>
        <w:t>a</w:t>
      </w:r>
      <w:r w:rsidR="00CA3DF9" w:rsidRPr="00273842">
        <w:rPr>
          <w:b/>
          <w:sz w:val="22"/>
          <w:szCs w:val="22"/>
          <w:lang w:val="hr-HR"/>
        </w:rPr>
        <w:t xml:space="preserve"> 011000</w:t>
      </w:r>
      <w:r w:rsidRPr="00273842">
        <w:rPr>
          <w:b/>
          <w:sz w:val="22"/>
          <w:szCs w:val="22"/>
          <w:lang w:val="hr-HR"/>
        </w:rPr>
        <w:t xml:space="preserve"> - </w:t>
      </w:r>
      <w:r w:rsidR="00CA3DF9" w:rsidRPr="00273842">
        <w:rPr>
          <w:b/>
          <w:sz w:val="22"/>
          <w:szCs w:val="22"/>
          <w:lang w:val="hr-HR"/>
        </w:rPr>
        <w:t>Stalna sredstva</w:t>
      </w:r>
      <w:r w:rsidRPr="00273842">
        <w:rPr>
          <w:b/>
          <w:sz w:val="22"/>
          <w:szCs w:val="22"/>
          <w:lang w:val="hr-HR"/>
        </w:rPr>
        <w:t>,</w:t>
      </w:r>
      <w:r w:rsidR="00CA3DF9" w:rsidRPr="00273842">
        <w:rPr>
          <w:b/>
          <w:sz w:val="22"/>
          <w:szCs w:val="22"/>
          <w:lang w:val="hr-HR"/>
        </w:rPr>
        <w:t xml:space="preserve"> </w:t>
      </w:r>
      <w:r w:rsidR="00CA3DF9" w:rsidRPr="00273842">
        <w:rPr>
          <w:sz w:val="22"/>
          <w:szCs w:val="22"/>
          <w:lang w:val="hr-HR"/>
        </w:rPr>
        <w:t>nabavn</w:t>
      </w:r>
      <w:r w:rsidR="00037527" w:rsidRPr="00273842">
        <w:rPr>
          <w:sz w:val="22"/>
          <w:szCs w:val="22"/>
          <w:lang w:val="hr-HR"/>
        </w:rPr>
        <w:t>a</w:t>
      </w:r>
      <w:r w:rsidR="00CA3DF9" w:rsidRPr="00273842">
        <w:rPr>
          <w:sz w:val="22"/>
          <w:szCs w:val="22"/>
          <w:lang w:val="hr-HR"/>
        </w:rPr>
        <w:t xml:space="preserve"> vrijedn</w:t>
      </w:r>
      <w:r w:rsidR="0059057D">
        <w:rPr>
          <w:sz w:val="22"/>
          <w:szCs w:val="22"/>
          <w:lang w:val="hr-HR"/>
        </w:rPr>
        <w:t>ost stalnih sredstava je 3</w:t>
      </w:r>
      <w:r w:rsidR="00246A8A">
        <w:rPr>
          <w:sz w:val="22"/>
          <w:szCs w:val="22"/>
          <w:lang w:val="hr-HR"/>
        </w:rPr>
        <w:t>75</w:t>
      </w:r>
      <w:r w:rsidR="00F32CB4">
        <w:rPr>
          <w:sz w:val="22"/>
          <w:szCs w:val="22"/>
          <w:lang w:val="hr-HR"/>
        </w:rPr>
        <w:t>.698</w:t>
      </w:r>
      <w:r w:rsidR="00CA3DF9" w:rsidRPr="00273842">
        <w:rPr>
          <w:sz w:val="22"/>
          <w:szCs w:val="22"/>
          <w:lang w:val="hr-HR"/>
        </w:rPr>
        <w:t xml:space="preserve"> </w:t>
      </w:r>
      <w:r w:rsidR="009B1A63" w:rsidRPr="00273842">
        <w:rPr>
          <w:sz w:val="22"/>
          <w:szCs w:val="22"/>
          <w:lang w:val="hr-HR"/>
        </w:rPr>
        <w:t xml:space="preserve">KM </w:t>
      </w:r>
      <w:r w:rsidR="00ED7492" w:rsidRPr="00273842">
        <w:rPr>
          <w:b/>
          <w:sz w:val="22"/>
          <w:szCs w:val="22"/>
          <w:lang w:val="hr-HR"/>
        </w:rPr>
        <w:t xml:space="preserve">. </w:t>
      </w:r>
      <w:r w:rsidR="00ED7492" w:rsidRPr="00273842">
        <w:rPr>
          <w:sz w:val="22"/>
          <w:szCs w:val="22"/>
          <w:lang w:val="hr-HR"/>
        </w:rPr>
        <w:t>U</w:t>
      </w:r>
      <w:r w:rsidR="00921296">
        <w:rPr>
          <w:sz w:val="22"/>
          <w:szCs w:val="22"/>
          <w:lang w:val="hr-HR"/>
        </w:rPr>
        <w:t xml:space="preserve">  izvještajnom</w:t>
      </w:r>
      <w:r w:rsidR="00F32CB4">
        <w:rPr>
          <w:sz w:val="22"/>
          <w:szCs w:val="22"/>
          <w:lang w:val="hr-HR"/>
        </w:rPr>
        <w:t xml:space="preserve"> period</w:t>
      </w:r>
      <w:r w:rsidR="00921296">
        <w:rPr>
          <w:sz w:val="22"/>
          <w:szCs w:val="22"/>
          <w:lang w:val="hr-HR"/>
        </w:rPr>
        <w:t xml:space="preserve">u ova stavka je </w:t>
      </w:r>
      <w:r w:rsidR="00F32CB4">
        <w:rPr>
          <w:sz w:val="22"/>
          <w:szCs w:val="22"/>
          <w:lang w:val="hr-HR"/>
        </w:rPr>
        <w:t xml:space="preserve"> uvećan</w:t>
      </w:r>
      <w:r w:rsidR="00921296">
        <w:rPr>
          <w:sz w:val="22"/>
          <w:szCs w:val="22"/>
          <w:lang w:val="hr-HR"/>
        </w:rPr>
        <w:t>a</w:t>
      </w:r>
      <w:r w:rsidR="00F32CB4">
        <w:rPr>
          <w:sz w:val="22"/>
          <w:szCs w:val="22"/>
          <w:lang w:val="hr-HR"/>
        </w:rPr>
        <w:t xml:space="preserve"> za </w:t>
      </w:r>
      <w:r w:rsidR="00921296">
        <w:rPr>
          <w:sz w:val="22"/>
          <w:szCs w:val="22"/>
          <w:lang w:val="hr-HR"/>
        </w:rPr>
        <w:t xml:space="preserve">nabavku </w:t>
      </w:r>
      <w:r w:rsidR="00F32CB4">
        <w:rPr>
          <w:sz w:val="22"/>
          <w:szCs w:val="22"/>
          <w:lang w:val="hr-HR"/>
        </w:rPr>
        <w:t>računarske opreme u iznosu od</w:t>
      </w:r>
      <w:r w:rsidR="00246A8A">
        <w:rPr>
          <w:sz w:val="22"/>
          <w:szCs w:val="22"/>
          <w:lang w:val="hr-HR"/>
        </w:rPr>
        <w:t xml:space="preserve"> 9.707,61 KM, </w:t>
      </w:r>
      <w:r w:rsidR="00F32CB4">
        <w:rPr>
          <w:sz w:val="22"/>
          <w:szCs w:val="22"/>
          <w:lang w:val="hr-HR"/>
        </w:rPr>
        <w:t>elektronske opreme u iznosu 2.288,94 KM</w:t>
      </w:r>
      <w:r w:rsidR="00246A8A">
        <w:rPr>
          <w:sz w:val="22"/>
          <w:szCs w:val="22"/>
          <w:lang w:val="hr-HR"/>
        </w:rPr>
        <w:t xml:space="preserve"> i 1.234,71 KM po osnovu </w:t>
      </w:r>
      <w:proofErr w:type="spellStart"/>
      <w:r w:rsidR="00246A8A">
        <w:rPr>
          <w:sz w:val="22"/>
          <w:szCs w:val="22"/>
          <w:lang w:val="hr-HR"/>
        </w:rPr>
        <w:t>prenosa</w:t>
      </w:r>
      <w:proofErr w:type="spellEnd"/>
      <w:r w:rsidR="00246A8A">
        <w:rPr>
          <w:sz w:val="22"/>
          <w:szCs w:val="22"/>
          <w:lang w:val="hr-HR"/>
        </w:rPr>
        <w:t xml:space="preserve"> vlasništva računarske opreme</w:t>
      </w:r>
      <w:r w:rsidR="00921296">
        <w:rPr>
          <w:sz w:val="22"/>
          <w:szCs w:val="22"/>
          <w:lang w:val="hr-HR"/>
        </w:rPr>
        <w:t xml:space="preserve"> (ISFU komponenti)</w:t>
      </w:r>
      <w:r w:rsidR="00246A8A">
        <w:rPr>
          <w:sz w:val="22"/>
          <w:szCs w:val="22"/>
          <w:lang w:val="hr-HR"/>
        </w:rPr>
        <w:t xml:space="preserve"> od Ministarstva </w:t>
      </w:r>
      <w:proofErr w:type="spellStart"/>
      <w:r w:rsidR="00246A8A">
        <w:rPr>
          <w:sz w:val="22"/>
          <w:szCs w:val="22"/>
          <w:lang w:val="hr-HR"/>
        </w:rPr>
        <w:t>finansija</w:t>
      </w:r>
      <w:proofErr w:type="spellEnd"/>
      <w:r w:rsidR="00246A8A">
        <w:rPr>
          <w:sz w:val="22"/>
          <w:szCs w:val="22"/>
          <w:lang w:val="hr-HR"/>
        </w:rPr>
        <w:t xml:space="preserve"> i trezora BiH</w:t>
      </w:r>
      <w:r w:rsidR="00F32CB4">
        <w:rPr>
          <w:sz w:val="22"/>
          <w:szCs w:val="22"/>
          <w:lang w:val="hr-HR"/>
        </w:rPr>
        <w:t>.</w:t>
      </w:r>
      <w:r w:rsidR="00246A8A">
        <w:rPr>
          <w:sz w:val="22"/>
          <w:szCs w:val="22"/>
          <w:lang w:val="hr-HR"/>
        </w:rPr>
        <w:t xml:space="preserve"> U</w:t>
      </w:r>
      <w:r w:rsidR="00ED7492" w:rsidRPr="00273842">
        <w:rPr>
          <w:sz w:val="22"/>
          <w:szCs w:val="22"/>
          <w:lang w:val="hr-HR"/>
        </w:rPr>
        <w:t xml:space="preserve"> </w:t>
      </w:r>
      <w:r w:rsidR="00246A8A">
        <w:rPr>
          <w:sz w:val="22"/>
          <w:szCs w:val="22"/>
          <w:lang w:val="hr-HR"/>
        </w:rPr>
        <w:t xml:space="preserve">periodu izvještavanja </w:t>
      </w:r>
      <w:r w:rsidR="0059057D">
        <w:rPr>
          <w:sz w:val="22"/>
          <w:szCs w:val="22"/>
          <w:lang w:val="hr-HR"/>
        </w:rPr>
        <w:t xml:space="preserve"> nije </w:t>
      </w:r>
      <w:r w:rsidRPr="00273842">
        <w:rPr>
          <w:sz w:val="22"/>
          <w:szCs w:val="22"/>
          <w:lang w:val="hr-HR"/>
        </w:rPr>
        <w:t xml:space="preserve"> bilo</w:t>
      </w:r>
      <w:r w:rsidR="0059057D">
        <w:rPr>
          <w:sz w:val="22"/>
          <w:szCs w:val="22"/>
          <w:lang w:val="hr-HR"/>
        </w:rPr>
        <w:t xml:space="preserve"> rashodovanja</w:t>
      </w:r>
      <w:r w:rsidR="00ED7492" w:rsidRPr="00273842">
        <w:rPr>
          <w:sz w:val="22"/>
          <w:szCs w:val="22"/>
          <w:lang w:val="hr-HR"/>
        </w:rPr>
        <w:t xml:space="preserve"> stalnih sredstava</w:t>
      </w:r>
      <w:r w:rsidR="0059057D">
        <w:rPr>
          <w:sz w:val="22"/>
          <w:szCs w:val="22"/>
          <w:lang w:val="hr-HR"/>
        </w:rPr>
        <w:t>.</w:t>
      </w:r>
      <w:r w:rsidR="00ED7492" w:rsidRPr="00273842">
        <w:rPr>
          <w:sz w:val="22"/>
          <w:szCs w:val="22"/>
          <w:lang w:val="hr-HR"/>
        </w:rPr>
        <w:t xml:space="preserve"> </w:t>
      </w:r>
    </w:p>
    <w:p w:rsidR="00EC1471" w:rsidRPr="00EC1471" w:rsidRDefault="00EC1471" w:rsidP="00284499">
      <w:pPr>
        <w:jc w:val="both"/>
        <w:rPr>
          <w:b/>
          <w:sz w:val="8"/>
          <w:szCs w:val="22"/>
          <w:lang w:val="hr-HR"/>
        </w:rPr>
      </w:pPr>
    </w:p>
    <w:p w:rsidR="00B104B4" w:rsidRPr="005D3F7D" w:rsidRDefault="002B5DFA" w:rsidP="00284499">
      <w:pPr>
        <w:jc w:val="both"/>
        <w:rPr>
          <w:sz w:val="22"/>
          <w:szCs w:val="22"/>
          <w:lang w:val="hr-HR"/>
        </w:rPr>
      </w:pPr>
      <w:r w:rsidRPr="00273842">
        <w:rPr>
          <w:b/>
          <w:sz w:val="22"/>
          <w:szCs w:val="22"/>
          <w:lang w:val="hr-HR"/>
        </w:rPr>
        <w:t>Po</w:t>
      </w:r>
      <w:r w:rsidR="00755519" w:rsidRPr="00273842">
        <w:rPr>
          <w:b/>
          <w:sz w:val="22"/>
          <w:szCs w:val="22"/>
          <w:lang w:val="hr-HR"/>
        </w:rPr>
        <w:t>zicij</w:t>
      </w:r>
      <w:r w:rsidRPr="00273842">
        <w:rPr>
          <w:b/>
          <w:sz w:val="22"/>
          <w:szCs w:val="22"/>
          <w:lang w:val="hr-HR"/>
        </w:rPr>
        <w:t>a</w:t>
      </w:r>
      <w:r w:rsidR="00755519" w:rsidRPr="00273842">
        <w:rPr>
          <w:b/>
          <w:sz w:val="22"/>
          <w:szCs w:val="22"/>
          <w:lang w:val="hr-HR"/>
        </w:rPr>
        <w:t xml:space="preserve"> 011900</w:t>
      </w:r>
      <w:r w:rsidR="00037527" w:rsidRPr="00273842">
        <w:rPr>
          <w:b/>
          <w:sz w:val="22"/>
          <w:szCs w:val="22"/>
          <w:lang w:val="hr-HR"/>
        </w:rPr>
        <w:t xml:space="preserve"> </w:t>
      </w:r>
      <w:r w:rsidR="00755519" w:rsidRPr="00273842">
        <w:rPr>
          <w:b/>
          <w:sz w:val="22"/>
          <w:szCs w:val="22"/>
          <w:lang w:val="hr-HR"/>
        </w:rPr>
        <w:t>-</w:t>
      </w:r>
      <w:r w:rsidR="00037527" w:rsidRPr="00273842">
        <w:rPr>
          <w:b/>
          <w:sz w:val="22"/>
          <w:szCs w:val="22"/>
          <w:lang w:val="hr-HR"/>
        </w:rPr>
        <w:t xml:space="preserve"> </w:t>
      </w:r>
      <w:r w:rsidR="00755519" w:rsidRPr="00273842">
        <w:rPr>
          <w:b/>
          <w:sz w:val="22"/>
          <w:szCs w:val="22"/>
          <w:lang w:val="hr-HR"/>
        </w:rPr>
        <w:t>Ispravka vrijedno</w:t>
      </w:r>
      <w:r w:rsidR="00037527" w:rsidRPr="00273842">
        <w:rPr>
          <w:b/>
          <w:sz w:val="22"/>
          <w:szCs w:val="22"/>
          <w:lang w:val="hr-HR"/>
        </w:rPr>
        <w:t>s</w:t>
      </w:r>
      <w:r w:rsidR="00755519" w:rsidRPr="00273842">
        <w:rPr>
          <w:b/>
          <w:sz w:val="22"/>
          <w:szCs w:val="22"/>
          <w:lang w:val="hr-HR"/>
        </w:rPr>
        <w:t xml:space="preserve">ti stalnih sredstava, </w:t>
      </w:r>
      <w:r w:rsidR="00755519" w:rsidRPr="00273842">
        <w:rPr>
          <w:sz w:val="22"/>
          <w:szCs w:val="22"/>
          <w:lang w:val="hr-HR"/>
        </w:rPr>
        <w:t xml:space="preserve">saldo </w:t>
      </w:r>
      <w:r w:rsidR="0059057D">
        <w:rPr>
          <w:sz w:val="22"/>
          <w:szCs w:val="22"/>
          <w:lang w:val="hr-HR"/>
        </w:rPr>
        <w:t>2</w:t>
      </w:r>
      <w:r w:rsidR="00246A8A">
        <w:rPr>
          <w:sz w:val="22"/>
          <w:szCs w:val="22"/>
          <w:lang w:val="hr-HR"/>
        </w:rPr>
        <w:t>43.526</w:t>
      </w:r>
      <w:r w:rsidR="00755519" w:rsidRPr="00273842">
        <w:rPr>
          <w:sz w:val="22"/>
          <w:szCs w:val="22"/>
          <w:lang w:val="hr-HR"/>
        </w:rPr>
        <w:t xml:space="preserve"> K</w:t>
      </w:r>
      <w:r w:rsidR="00B104B4" w:rsidRPr="00273842">
        <w:rPr>
          <w:sz w:val="22"/>
          <w:szCs w:val="22"/>
          <w:lang w:val="hr-HR"/>
        </w:rPr>
        <w:t>M predstavlja akumuli</w:t>
      </w:r>
      <w:r w:rsidR="00755519" w:rsidRPr="00273842">
        <w:rPr>
          <w:sz w:val="22"/>
          <w:szCs w:val="22"/>
          <w:lang w:val="hr-HR"/>
        </w:rPr>
        <w:t>ranu amortizaciju od momenta nabavke</w:t>
      </w:r>
      <w:r w:rsidRPr="00273842">
        <w:rPr>
          <w:sz w:val="22"/>
          <w:szCs w:val="22"/>
          <w:lang w:val="hr-HR"/>
        </w:rPr>
        <w:t xml:space="preserve"> do datuma izvještavanja</w:t>
      </w:r>
      <w:r w:rsidR="00755519" w:rsidRPr="00273842">
        <w:rPr>
          <w:sz w:val="22"/>
          <w:szCs w:val="22"/>
          <w:lang w:val="hr-HR"/>
        </w:rPr>
        <w:t>.</w:t>
      </w:r>
    </w:p>
    <w:p w:rsidR="00EC1471" w:rsidRPr="00EC1471" w:rsidRDefault="00EC1471" w:rsidP="00284499">
      <w:pPr>
        <w:jc w:val="both"/>
        <w:rPr>
          <w:b/>
          <w:sz w:val="8"/>
          <w:szCs w:val="22"/>
          <w:lang w:val="hr-HR"/>
        </w:rPr>
      </w:pPr>
    </w:p>
    <w:p w:rsidR="00755519" w:rsidRPr="005D3F7D" w:rsidRDefault="002B5DFA" w:rsidP="00284499">
      <w:pPr>
        <w:jc w:val="both"/>
        <w:rPr>
          <w:sz w:val="22"/>
          <w:szCs w:val="22"/>
          <w:lang w:val="hr-HR"/>
        </w:rPr>
      </w:pPr>
      <w:r w:rsidRPr="00273842">
        <w:rPr>
          <w:b/>
          <w:sz w:val="22"/>
          <w:szCs w:val="22"/>
          <w:lang w:val="hr-HR"/>
        </w:rPr>
        <w:t>P</w:t>
      </w:r>
      <w:r w:rsidR="00755519" w:rsidRPr="00273842">
        <w:rPr>
          <w:b/>
          <w:sz w:val="22"/>
          <w:szCs w:val="22"/>
          <w:lang w:val="hr-HR"/>
        </w:rPr>
        <w:t>ozicij</w:t>
      </w:r>
      <w:r w:rsidRPr="00273842">
        <w:rPr>
          <w:b/>
          <w:sz w:val="22"/>
          <w:szCs w:val="22"/>
          <w:lang w:val="hr-HR"/>
        </w:rPr>
        <w:t>a</w:t>
      </w:r>
      <w:r w:rsidR="00755519" w:rsidRPr="00273842">
        <w:rPr>
          <w:b/>
          <w:sz w:val="22"/>
          <w:szCs w:val="22"/>
          <w:lang w:val="hr-HR"/>
        </w:rPr>
        <w:t xml:space="preserve"> 310000</w:t>
      </w:r>
      <w:r w:rsidRPr="00273842">
        <w:rPr>
          <w:b/>
          <w:sz w:val="22"/>
          <w:szCs w:val="22"/>
          <w:lang w:val="hr-HR"/>
        </w:rPr>
        <w:t xml:space="preserve"> - </w:t>
      </w:r>
      <w:r w:rsidR="00755519" w:rsidRPr="00273842">
        <w:rPr>
          <w:b/>
          <w:sz w:val="22"/>
          <w:szCs w:val="22"/>
          <w:lang w:val="hr-HR"/>
        </w:rPr>
        <w:t>Kratkoročne tekuće obaveze</w:t>
      </w:r>
      <w:r w:rsidR="00755519" w:rsidRPr="00273842">
        <w:rPr>
          <w:sz w:val="22"/>
          <w:szCs w:val="22"/>
          <w:lang w:val="hr-HR"/>
        </w:rPr>
        <w:t xml:space="preserve">, saldo </w:t>
      </w:r>
      <w:r w:rsidR="005D3F7D">
        <w:rPr>
          <w:sz w:val="22"/>
          <w:szCs w:val="22"/>
          <w:lang w:val="hr-HR"/>
        </w:rPr>
        <w:t>19.087</w:t>
      </w:r>
      <w:r w:rsidR="004C7F5E" w:rsidRPr="00273842">
        <w:rPr>
          <w:sz w:val="22"/>
          <w:szCs w:val="22"/>
          <w:lang w:val="hr-HR"/>
        </w:rPr>
        <w:t xml:space="preserve"> KM odnosi se na obave</w:t>
      </w:r>
      <w:r w:rsidR="00755519" w:rsidRPr="00273842">
        <w:rPr>
          <w:sz w:val="22"/>
          <w:szCs w:val="22"/>
          <w:lang w:val="hr-HR"/>
        </w:rPr>
        <w:t>ze proknjižene prema dobavljačima na dan izvješta</w:t>
      </w:r>
      <w:r w:rsidRPr="00273842">
        <w:rPr>
          <w:sz w:val="22"/>
          <w:szCs w:val="22"/>
          <w:lang w:val="hr-HR"/>
        </w:rPr>
        <w:t>vanja</w:t>
      </w:r>
      <w:r w:rsidR="00755519" w:rsidRPr="00273842">
        <w:rPr>
          <w:sz w:val="22"/>
          <w:szCs w:val="22"/>
          <w:lang w:val="hr-HR"/>
        </w:rPr>
        <w:t>.</w:t>
      </w:r>
    </w:p>
    <w:p w:rsidR="00EC1471" w:rsidRPr="00EC1471" w:rsidRDefault="00EC1471" w:rsidP="00284499">
      <w:pPr>
        <w:jc w:val="both"/>
        <w:rPr>
          <w:b/>
          <w:sz w:val="8"/>
          <w:szCs w:val="22"/>
          <w:lang w:val="hr-HR"/>
        </w:rPr>
      </w:pPr>
    </w:p>
    <w:p w:rsidR="00755519" w:rsidRDefault="002B5DFA" w:rsidP="00284499">
      <w:pPr>
        <w:jc w:val="both"/>
        <w:rPr>
          <w:sz w:val="22"/>
          <w:szCs w:val="22"/>
          <w:lang w:val="hr-HR"/>
        </w:rPr>
      </w:pPr>
      <w:r w:rsidRPr="00273842">
        <w:rPr>
          <w:b/>
          <w:sz w:val="22"/>
          <w:szCs w:val="22"/>
          <w:lang w:val="hr-HR"/>
        </w:rPr>
        <w:t>P</w:t>
      </w:r>
      <w:r w:rsidR="00755519" w:rsidRPr="00273842">
        <w:rPr>
          <w:b/>
          <w:sz w:val="22"/>
          <w:szCs w:val="22"/>
          <w:lang w:val="hr-HR"/>
        </w:rPr>
        <w:t>ozicij</w:t>
      </w:r>
      <w:r w:rsidRPr="00273842">
        <w:rPr>
          <w:b/>
          <w:sz w:val="22"/>
          <w:szCs w:val="22"/>
          <w:lang w:val="hr-HR"/>
        </w:rPr>
        <w:t>a</w:t>
      </w:r>
      <w:r w:rsidR="00755519" w:rsidRPr="00273842">
        <w:rPr>
          <w:b/>
          <w:sz w:val="22"/>
          <w:szCs w:val="22"/>
          <w:lang w:val="hr-HR"/>
        </w:rPr>
        <w:t xml:space="preserve"> 340000</w:t>
      </w:r>
      <w:r w:rsidRPr="00273842">
        <w:rPr>
          <w:b/>
          <w:sz w:val="22"/>
          <w:szCs w:val="22"/>
          <w:lang w:val="hr-HR"/>
        </w:rPr>
        <w:t xml:space="preserve"> - </w:t>
      </w:r>
      <w:r w:rsidR="00755519" w:rsidRPr="00273842">
        <w:rPr>
          <w:b/>
          <w:sz w:val="22"/>
          <w:szCs w:val="22"/>
          <w:lang w:val="hr-HR"/>
        </w:rPr>
        <w:t xml:space="preserve">Obaveze prema </w:t>
      </w:r>
      <w:r w:rsidRPr="00273842">
        <w:rPr>
          <w:b/>
          <w:sz w:val="22"/>
          <w:szCs w:val="22"/>
          <w:lang w:val="hr-HR"/>
        </w:rPr>
        <w:t>radnicima,</w:t>
      </w:r>
      <w:r w:rsidR="00755519" w:rsidRPr="00273842">
        <w:rPr>
          <w:b/>
          <w:sz w:val="22"/>
          <w:szCs w:val="22"/>
          <w:lang w:val="hr-HR"/>
        </w:rPr>
        <w:t xml:space="preserve"> </w:t>
      </w:r>
      <w:r w:rsidR="00755519" w:rsidRPr="00273842">
        <w:rPr>
          <w:sz w:val="22"/>
          <w:szCs w:val="22"/>
          <w:lang w:val="hr-HR"/>
        </w:rPr>
        <w:t>odnosi se na obračun neto plata</w:t>
      </w:r>
      <w:r w:rsidR="00EE1720" w:rsidRPr="00273842">
        <w:rPr>
          <w:sz w:val="22"/>
          <w:szCs w:val="22"/>
          <w:lang w:val="hr-HR"/>
        </w:rPr>
        <w:t xml:space="preserve">, naknada </w:t>
      </w:r>
      <w:r w:rsidR="00755519" w:rsidRPr="00273842">
        <w:rPr>
          <w:sz w:val="22"/>
          <w:szCs w:val="22"/>
          <w:lang w:val="hr-HR"/>
        </w:rPr>
        <w:t>i pripadajućih p</w:t>
      </w:r>
      <w:r w:rsidR="005D3F7D">
        <w:rPr>
          <w:sz w:val="22"/>
          <w:szCs w:val="22"/>
          <w:lang w:val="hr-HR"/>
        </w:rPr>
        <w:t>oreza i doprinosa za mjesec decembar 2017.</w:t>
      </w:r>
      <w:r w:rsidR="00755519" w:rsidRPr="00273842">
        <w:rPr>
          <w:sz w:val="22"/>
          <w:szCs w:val="22"/>
          <w:lang w:val="hr-HR"/>
        </w:rPr>
        <w:t xml:space="preserve"> godine i iznose</w:t>
      </w:r>
      <w:r w:rsidR="005D3F7D">
        <w:rPr>
          <w:sz w:val="22"/>
          <w:szCs w:val="22"/>
          <w:lang w:val="hr-HR"/>
        </w:rPr>
        <w:t>104.810</w:t>
      </w:r>
      <w:r w:rsidR="00755519" w:rsidRPr="00273842">
        <w:rPr>
          <w:sz w:val="22"/>
          <w:szCs w:val="22"/>
          <w:lang w:val="hr-HR"/>
        </w:rPr>
        <w:t xml:space="preserve"> KM.</w:t>
      </w:r>
    </w:p>
    <w:p w:rsidR="00EC1471" w:rsidRPr="00EC1471" w:rsidRDefault="00EC1471" w:rsidP="00284499">
      <w:pPr>
        <w:jc w:val="both"/>
        <w:rPr>
          <w:b/>
          <w:sz w:val="8"/>
          <w:szCs w:val="22"/>
          <w:lang w:val="hr-HR"/>
        </w:rPr>
      </w:pPr>
    </w:p>
    <w:p w:rsidR="005D3F7D" w:rsidRPr="00BB4199" w:rsidRDefault="005D3F7D" w:rsidP="00284499">
      <w:pPr>
        <w:jc w:val="both"/>
        <w:rPr>
          <w:sz w:val="22"/>
          <w:szCs w:val="22"/>
          <w:lang w:val="hr-HR"/>
        </w:rPr>
      </w:pPr>
      <w:r w:rsidRPr="00273842">
        <w:rPr>
          <w:b/>
          <w:sz w:val="22"/>
          <w:szCs w:val="22"/>
          <w:lang w:val="hr-HR"/>
        </w:rPr>
        <w:t>Pozicija 3</w:t>
      </w:r>
      <w:r>
        <w:rPr>
          <w:b/>
          <w:sz w:val="22"/>
          <w:szCs w:val="22"/>
          <w:lang w:val="hr-HR"/>
        </w:rPr>
        <w:t>9</w:t>
      </w:r>
      <w:r w:rsidRPr="00273842">
        <w:rPr>
          <w:b/>
          <w:sz w:val="22"/>
          <w:szCs w:val="22"/>
          <w:lang w:val="hr-HR"/>
        </w:rPr>
        <w:t xml:space="preserve">0000 </w:t>
      </w:r>
      <w:r>
        <w:rPr>
          <w:b/>
          <w:sz w:val="22"/>
          <w:szCs w:val="22"/>
          <w:lang w:val="hr-HR"/>
        </w:rPr>
        <w:t>–</w:t>
      </w:r>
      <w:r w:rsidRPr="00273842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Kratkoročna razgraničenja</w:t>
      </w:r>
      <w:r w:rsidR="00BB4199">
        <w:rPr>
          <w:b/>
          <w:sz w:val="22"/>
          <w:szCs w:val="22"/>
          <w:lang w:val="hr-HR"/>
        </w:rPr>
        <w:t>,</w:t>
      </w:r>
      <w:r>
        <w:rPr>
          <w:b/>
          <w:sz w:val="22"/>
          <w:szCs w:val="22"/>
          <w:lang w:val="hr-HR"/>
        </w:rPr>
        <w:t xml:space="preserve"> </w:t>
      </w:r>
      <w:r w:rsidRPr="00BB4199">
        <w:rPr>
          <w:sz w:val="22"/>
          <w:szCs w:val="22"/>
          <w:lang w:val="hr-HR"/>
        </w:rPr>
        <w:t>odnosi se na obračun mobilnih telefona za decembar 2017. godine  i iznose 407 KM</w:t>
      </w:r>
      <w:r w:rsidR="00BB4199">
        <w:rPr>
          <w:sz w:val="22"/>
          <w:szCs w:val="22"/>
          <w:lang w:val="hr-HR"/>
        </w:rPr>
        <w:t>.</w:t>
      </w:r>
    </w:p>
    <w:p w:rsidR="00EC1471" w:rsidRPr="00EC1471" w:rsidRDefault="00EC1471" w:rsidP="00284499">
      <w:pPr>
        <w:jc w:val="both"/>
        <w:rPr>
          <w:b/>
          <w:sz w:val="8"/>
          <w:szCs w:val="22"/>
          <w:lang w:val="hr-HR"/>
        </w:rPr>
      </w:pPr>
    </w:p>
    <w:p w:rsidR="00755519" w:rsidRPr="00273842" w:rsidRDefault="002B5DFA" w:rsidP="00284499">
      <w:pPr>
        <w:jc w:val="both"/>
        <w:rPr>
          <w:sz w:val="22"/>
          <w:szCs w:val="22"/>
          <w:lang w:val="hr-HR"/>
        </w:rPr>
      </w:pPr>
      <w:r w:rsidRPr="00273842">
        <w:rPr>
          <w:b/>
          <w:sz w:val="22"/>
          <w:szCs w:val="22"/>
          <w:lang w:val="hr-HR"/>
        </w:rPr>
        <w:t>Po</w:t>
      </w:r>
      <w:r w:rsidR="00755519" w:rsidRPr="00273842">
        <w:rPr>
          <w:b/>
          <w:sz w:val="22"/>
          <w:szCs w:val="22"/>
          <w:lang w:val="hr-HR"/>
        </w:rPr>
        <w:t>zicij</w:t>
      </w:r>
      <w:r w:rsidRPr="00273842">
        <w:rPr>
          <w:b/>
          <w:sz w:val="22"/>
          <w:szCs w:val="22"/>
          <w:lang w:val="hr-HR"/>
        </w:rPr>
        <w:t>a</w:t>
      </w:r>
      <w:r w:rsidR="00755519" w:rsidRPr="00273842">
        <w:rPr>
          <w:b/>
          <w:sz w:val="22"/>
          <w:szCs w:val="22"/>
          <w:lang w:val="hr-HR"/>
        </w:rPr>
        <w:t xml:space="preserve"> 510000</w:t>
      </w:r>
      <w:r w:rsidRPr="00273842">
        <w:rPr>
          <w:b/>
          <w:sz w:val="22"/>
          <w:szCs w:val="22"/>
          <w:lang w:val="hr-HR"/>
        </w:rPr>
        <w:t xml:space="preserve"> - </w:t>
      </w:r>
      <w:r w:rsidR="00755519" w:rsidRPr="00273842">
        <w:rPr>
          <w:b/>
          <w:sz w:val="22"/>
          <w:szCs w:val="22"/>
          <w:lang w:val="hr-HR"/>
        </w:rPr>
        <w:t>Izvori stalnih sredstava</w:t>
      </w:r>
      <w:r w:rsidR="00E71C59">
        <w:rPr>
          <w:sz w:val="22"/>
          <w:szCs w:val="22"/>
          <w:lang w:val="hr-HR"/>
        </w:rPr>
        <w:t>, saldo 1</w:t>
      </w:r>
      <w:r w:rsidR="005D3F7D">
        <w:rPr>
          <w:sz w:val="22"/>
          <w:szCs w:val="22"/>
          <w:lang w:val="hr-HR"/>
        </w:rPr>
        <w:t>32.172</w:t>
      </w:r>
      <w:r w:rsidR="00755519" w:rsidRPr="00273842">
        <w:rPr>
          <w:sz w:val="22"/>
          <w:szCs w:val="22"/>
          <w:lang w:val="hr-HR"/>
        </w:rPr>
        <w:t xml:space="preserve"> KM</w:t>
      </w:r>
      <w:r w:rsidR="005E72A3" w:rsidRPr="00273842">
        <w:rPr>
          <w:sz w:val="22"/>
          <w:szCs w:val="22"/>
          <w:lang w:val="hr-HR"/>
        </w:rPr>
        <w:t xml:space="preserve"> predstavlja sadašnju knjigovodstvenu vrijednost slanih sredstava na dan izvještavanja. </w:t>
      </w:r>
    </w:p>
    <w:p w:rsidR="003C256F" w:rsidRPr="00273842" w:rsidRDefault="003C256F" w:rsidP="003C256F">
      <w:pPr>
        <w:spacing w:line="276" w:lineRule="auto"/>
        <w:rPr>
          <w:sz w:val="22"/>
          <w:szCs w:val="22"/>
          <w:lang w:val="hr-HR"/>
        </w:rPr>
      </w:pPr>
      <w:bookmarkStart w:id="0" w:name="_GoBack"/>
      <w:bookmarkEnd w:id="0"/>
      <w:r w:rsidRPr="00273842">
        <w:rPr>
          <w:sz w:val="22"/>
          <w:szCs w:val="22"/>
          <w:lang w:val="hr-HR"/>
        </w:rPr>
        <w:tab/>
      </w:r>
      <w:r w:rsidRPr="00273842">
        <w:rPr>
          <w:sz w:val="22"/>
          <w:szCs w:val="22"/>
          <w:lang w:val="hr-HR"/>
        </w:rPr>
        <w:tab/>
      </w:r>
      <w:r w:rsidRPr="00273842">
        <w:rPr>
          <w:sz w:val="22"/>
          <w:szCs w:val="22"/>
          <w:lang w:val="hr-HR"/>
        </w:rPr>
        <w:tab/>
      </w:r>
      <w:r w:rsidRPr="00273842">
        <w:rPr>
          <w:sz w:val="22"/>
          <w:szCs w:val="22"/>
          <w:lang w:val="hr-HR"/>
        </w:rPr>
        <w:tab/>
      </w:r>
    </w:p>
    <w:p w:rsidR="003C256F" w:rsidRDefault="003C256F" w:rsidP="003C256F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         </w:t>
      </w:r>
      <w:r>
        <w:rPr>
          <w:b/>
          <w:lang w:val="bs-Latn-BA"/>
        </w:rPr>
        <w:t>D I R E K T O R</w:t>
      </w:r>
    </w:p>
    <w:p w:rsidR="003C256F" w:rsidRDefault="003C256F" w:rsidP="003C256F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      </w:t>
      </w:r>
    </w:p>
    <w:p w:rsidR="003C256F" w:rsidRDefault="003C256F" w:rsidP="003C256F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      __________________     </w:t>
      </w:r>
    </w:p>
    <w:p w:rsidR="003C256F" w:rsidRPr="00273842" w:rsidRDefault="003C256F" w:rsidP="00273842">
      <w:pPr>
        <w:rPr>
          <w:b/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             </w:t>
      </w:r>
      <w:r w:rsidR="00E71C59">
        <w:rPr>
          <w:b/>
          <w:lang w:val="bs-Latn-BA"/>
        </w:rPr>
        <w:t>Hasim Šabotić</w:t>
      </w:r>
    </w:p>
    <w:sectPr w:rsidR="003C256F" w:rsidRPr="00273842" w:rsidSect="00EC14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3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80" w:rsidRDefault="00571180" w:rsidP="000F3234">
      <w:r>
        <w:separator/>
      </w:r>
    </w:p>
  </w:endnote>
  <w:endnote w:type="continuationSeparator" w:id="0">
    <w:p w:rsidR="00571180" w:rsidRDefault="00571180" w:rsidP="000F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32" w:rsidRDefault="005214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D1A5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0D32" w:rsidRDefault="0057118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32" w:rsidRDefault="005214F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D1A59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9306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E0D32" w:rsidRDefault="00571180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D4" w:rsidRPr="00491618" w:rsidRDefault="00BD1A59" w:rsidP="00491618">
    <w:pPr>
      <w:pStyle w:val="Podnoje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sr-Cyrl-BA"/>
      </w:rPr>
      <w:t xml:space="preserve"> </w:t>
    </w:r>
    <w:r>
      <w:rPr>
        <w:b/>
        <w:sz w:val="18"/>
        <w:szCs w:val="18"/>
        <w:lang w:val="hr-HR"/>
      </w:rPr>
      <w:t xml:space="preserve">71123, </w:t>
    </w:r>
    <w:proofErr w:type="spellStart"/>
    <w:r w:rsidR="00273842">
      <w:rPr>
        <w:b/>
        <w:sz w:val="18"/>
        <w:szCs w:val="18"/>
        <w:lang w:val="hr-HR"/>
      </w:rPr>
      <w:t>Dabrobos</w:t>
    </w:r>
    <w:r w:rsidR="00262B58">
      <w:rPr>
        <w:b/>
        <w:sz w:val="18"/>
        <w:szCs w:val="18"/>
        <w:lang w:val="hr-HR"/>
      </w:rPr>
      <w:t>anska</w:t>
    </w:r>
    <w:proofErr w:type="spellEnd"/>
    <w:r w:rsidR="00262B58">
      <w:rPr>
        <w:b/>
        <w:sz w:val="18"/>
        <w:szCs w:val="18"/>
        <w:lang w:val="hr-HR"/>
      </w:rPr>
      <w:t xml:space="preserve"> 2</w:t>
    </w:r>
    <w:r w:rsidR="00273842">
      <w:rPr>
        <w:b/>
        <w:sz w:val="18"/>
        <w:szCs w:val="18"/>
        <w:lang w:val="hr-HR"/>
      </w:rPr>
      <w:t>6-</w:t>
    </w:r>
    <w:r w:rsidR="00262B58">
      <w:rPr>
        <w:b/>
        <w:sz w:val="18"/>
        <w:szCs w:val="18"/>
        <w:lang w:val="hr-HR"/>
      </w:rPr>
      <w:t>2</w:t>
    </w:r>
    <w:r w:rsidR="00273842">
      <w:rPr>
        <w:b/>
        <w:sz w:val="18"/>
        <w:szCs w:val="18"/>
        <w:lang w:val="hr-HR"/>
      </w:rPr>
      <w:t>8</w:t>
    </w:r>
    <w:r w:rsidR="00262B58">
      <w:rPr>
        <w:b/>
        <w:sz w:val="18"/>
        <w:szCs w:val="18"/>
        <w:lang w:val="hr-HR"/>
      </w:rPr>
      <w:t xml:space="preserve">, telefon: 057/322-540; </w:t>
    </w:r>
    <w:proofErr w:type="spellStart"/>
    <w:r w:rsidR="00262B58">
      <w:rPr>
        <w:b/>
        <w:sz w:val="18"/>
        <w:szCs w:val="18"/>
        <w:lang w:val="hr-HR"/>
      </w:rPr>
      <w:t>fax</w:t>
    </w:r>
    <w:proofErr w:type="spellEnd"/>
    <w:r w:rsidR="00262B58">
      <w:rPr>
        <w:b/>
        <w:sz w:val="18"/>
        <w:szCs w:val="18"/>
        <w:lang w:val="hr-HR"/>
      </w:rPr>
      <w:t>: 057/322-547</w:t>
    </w:r>
  </w:p>
  <w:p w:rsidR="00214ED4" w:rsidRPr="00705EBE" w:rsidRDefault="00BD1A59" w:rsidP="00491618">
    <w:pPr>
      <w:pStyle w:val="Podnoje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proofErr w:type="spellStart"/>
    <w:r w:rsidR="00273842">
      <w:rPr>
        <w:b/>
        <w:sz w:val="18"/>
        <w:szCs w:val="18"/>
        <w:lang w:val="sr-Cyrl-BA"/>
      </w:rPr>
      <w:t>Дабробос</w:t>
    </w:r>
    <w:r w:rsidR="00705EBE">
      <w:rPr>
        <w:b/>
        <w:sz w:val="18"/>
        <w:szCs w:val="18"/>
        <w:lang w:val="sr-Cyrl-BA"/>
      </w:rPr>
      <w:t>анс</w:t>
    </w:r>
    <w:r w:rsidR="00F54ABD">
      <w:rPr>
        <w:b/>
        <w:sz w:val="18"/>
        <w:szCs w:val="18"/>
        <w:lang w:val="sr-Cyrl-BA"/>
      </w:rPr>
      <w:t>ка</w:t>
    </w:r>
    <w:proofErr w:type="spellEnd"/>
    <w:r w:rsidR="00F54ABD">
      <w:rPr>
        <w:b/>
        <w:sz w:val="18"/>
        <w:szCs w:val="18"/>
        <w:lang w:val="sr-Cyrl-BA"/>
      </w:rPr>
      <w:t xml:space="preserve"> 2</w:t>
    </w:r>
    <w:r w:rsidR="00273842">
      <w:rPr>
        <w:b/>
        <w:sz w:val="18"/>
        <w:szCs w:val="18"/>
        <w:lang w:val="hr-BA"/>
      </w:rPr>
      <w:t>6-</w:t>
    </w:r>
    <w:r w:rsidR="00F54ABD">
      <w:rPr>
        <w:b/>
        <w:sz w:val="18"/>
        <w:szCs w:val="18"/>
        <w:lang w:val="sr-Cyrl-BA"/>
      </w:rPr>
      <w:t>2</w:t>
    </w:r>
    <w:r w:rsidR="00273842">
      <w:rPr>
        <w:b/>
        <w:sz w:val="18"/>
        <w:szCs w:val="18"/>
        <w:lang w:val="hr-BA"/>
      </w:rPr>
      <w:t>8</w:t>
    </w:r>
    <w:r w:rsidR="00F54ABD">
      <w:rPr>
        <w:b/>
        <w:sz w:val="18"/>
        <w:szCs w:val="18"/>
        <w:lang w:val="sr-Cyrl-BA"/>
      </w:rPr>
      <w:t>, телефон: 057/322-540; факс</w:t>
    </w:r>
    <w:r w:rsidR="00705EBE">
      <w:rPr>
        <w:b/>
        <w:sz w:val="18"/>
        <w:szCs w:val="18"/>
        <w:lang w:val="sr-Cyrl-BA"/>
      </w:rPr>
      <w:t>: 057/322-547</w:t>
    </w:r>
  </w:p>
  <w:p w:rsidR="00214ED4" w:rsidRPr="00491618" w:rsidRDefault="00571180">
    <w:pPr>
      <w:pStyle w:val="Podnoje"/>
      <w:jc w:val="center"/>
      <w:rPr>
        <w:b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80" w:rsidRDefault="00571180" w:rsidP="000F3234">
      <w:r>
        <w:separator/>
      </w:r>
    </w:p>
  </w:footnote>
  <w:footnote w:type="continuationSeparator" w:id="0">
    <w:p w:rsidR="00571180" w:rsidRDefault="00571180" w:rsidP="000F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32" w:rsidRDefault="00705EBE">
    <w:pPr>
      <w:pStyle w:val="Zaglavlje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630B8" wp14:editId="4257E573">
              <wp:simplePos x="0" y="0"/>
              <wp:positionH relativeFrom="column">
                <wp:posOffset>3857625</wp:posOffset>
              </wp:positionH>
              <wp:positionV relativeFrom="paragraph">
                <wp:posOffset>635</wp:posOffset>
              </wp:positionV>
              <wp:extent cx="1943100" cy="73342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D32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</w:t>
                          </w:r>
                        </w:p>
                        <w:p w:rsidR="00F75D5A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75pt;margin-top:.05pt;width:15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" stroked="f">
              <v:textbox>
                <w:txbxContent>
                  <w:p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Босна и Херцеговина </w:t>
                    </w:r>
                  </w:p>
                  <w:p w:rsidR="00F75D5A" w:rsidRPr="00491618" w:rsidRDefault="00BD1A59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0A481D" wp14:editId="427D6A7C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D32" w:rsidRPr="00491618" w:rsidRDefault="00BD1A59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DE0D32" w:rsidRPr="00491618" w:rsidRDefault="00BD1A59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7pt;margin-top:0;width:153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j9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" stroked="f">
              <v:textbox>
                <w:txbxContent>
                  <w:p w:rsidR="00DE0D32" w:rsidRPr="00491618" w:rsidRDefault="00BD1A59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:rsidR="00DE0D32" w:rsidRPr="00491618" w:rsidRDefault="00BD1A59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i koordinaciju borbe protiv korupcije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r-BA" w:eastAsia="hr-BA"/>
      </w:rPr>
      <w:drawing>
        <wp:inline distT="0" distB="0" distL="0" distR="0" wp14:anchorId="606AEABD" wp14:editId="00BC50BF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D32" w:rsidRDefault="00571180">
    <w:pPr>
      <w:pStyle w:val="Zaglavlje"/>
      <w:tabs>
        <w:tab w:val="clear" w:pos="9072"/>
        <w:tab w:val="left" w:pos="7935"/>
      </w:tabs>
      <w:jc w:val="center"/>
      <w:rPr>
        <w:sz w:val="20"/>
      </w:rPr>
    </w:pPr>
  </w:p>
  <w:p w:rsidR="00DE0D32" w:rsidRDefault="00705EBE">
    <w:pPr>
      <w:pStyle w:val="Zaglavlje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  <w:lang w:val="hr-BA" w:eastAsia="hr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725B12" wp14:editId="651C9768">
              <wp:simplePos x="0" y="0"/>
              <wp:positionH relativeFrom="column">
                <wp:posOffset>0</wp:posOffset>
              </wp:positionH>
              <wp:positionV relativeFrom="paragraph">
                <wp:posOffset>73660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8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F16"/>
    <w:multiLevelType w:val="hybridMultilevel"/>
    <w:tmpl w:val="5FB89E46"/>
    <w:lvl w:ilvl="0" w:tplc="7A42BEF6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F83"/>
    <w:multiLevelType w:val="hybridMultilevel"/>
    <w:tmpl w:val="F1642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2B8A"/>
    <w:multiLevelType w:val="hybridMultilevel"/>
    <w:tmpl w:val="A7D41EF4"/>
    <w:lvl w:ilvl="0" w:tplc="E9A6283A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4BE"/>
    <w:multiLevelType w:val="hybridMultilevel"/>
    <w:tmpl w:val="E60AAE92"/>
    <w:lvl w:ilvl="0" w:tplc="46BAC032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61EA"/>
    <w:multiLevelType w:val="hybridMultilevel"/>
    <w:tmpl w:val="55040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35D3F"/>
    <w:multiLevelType w:val="hybridMultilevel"/>
    <w:tmpl w:val="C5086BD2"/>
    <w:lvl w:ilvl="0" w:tplc="5C465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C101B"/>
    <w:multiLevelType w:val="hybridMultilevel"/>
    <w:tmpl w:val="0CC8B1A4"/>
    <w:lvl w:ilvl="0" w:tplc="83828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87D3C"/>
    <w:multiLevelType w:val="hybridMultilevel"/>
    <w:tmpl w:val="4CFE304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6D54"/>
    <w:multiLevelType w:val="hybridMultilevel"/>
    <w:tmpl w:val="E8CA4080"/>
    <w:lvl w:ilvl="0" w:tplc="630C1ED2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804B3"/>
    <w:multiLevelType w:val="hybridMultilevel"/>
    <w:tmpl w:val="F7B2F1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F1935"/>
    <w:multiLevelType w:val="hybridMultilevel"/>
    <w:tmpl w:val="89AC316C"/>
    <w:lvl w:ilvl="0" w:tplc="C59C7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5057E"/>
    <w:multiLevelType w:val="hybridMultilevel"/>
    <w:tmpl w:val="D820ED6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4"/>
  </w:num>
  <w:num w:numId="6">
    <w:abstractNumId w:val="10"/>
  </w:num>
  <w:num w:numId="7">
    <w:abstractNumId w:val="4"/>
  </w:num>
  <w:num w:numId="8">
    <w:abstractNumId w:val="4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2"/>
    <w:rsid w:val="0000340D"/>
    <w:rsid w:val="000110CF"/>
    <w:rsid w:val="0001583D"/>
    <w:rsid w:val="00037527"/>
    <w:rsid w:val="000376D6"/>
    <w:rsid w:val="00050AB8"/>
    <w:rsid w:val="000719C8"/>
    <w:rsid w:val="00075BAF"/>
    <w:rsid w:val="00081BD4"/>
    <w:rsid w:val="000924C8"/>
    <w:rsid w:val="00094EB1"/>
    <w:rsid w:val="00095509"/>
    <w:rsid w:val="000969F2"/>
    <w:rsid w:val="00096F23"/>
    <w:rsid w:val="000A7E9B"/>
    <w:rsid w:val="000D6557"/>
    <w:rsid w:val="000E42A5"/>
    <w:rsid w:val="000E5603"/>
    <w:rsid w:val="000F3234"/>
    <w:rsid w:val="000F3273"/>
    <w:rsid w:val="00102230"/>
    <w:rsid w:val="00103BF9"/>
    <w:rsid w:val="001164AD"/>
    <w:rsid w:val="0012708A"/>
    <w:rsid w:val="001462B9"/>
    <w:rsid w:val="001660F8"/>
    <w:rsid w:val="001735C0"/>
    <w:rsid w:val="0017709E"/>
    <w:rsid w:val="00184F54"/>
    <w:rsid w:val="00185612"/>
    <w:rsid w:val="00185B5F"/>
    <w:rsid w:val="001862FB"/>
    <w:rsid w:val="0019417F"/>
    <w:rsid w:val="001A3B17"/>
    <w:rsid w:val="001B006E"/>
    <w:rsid w:val="001C4983"/>
    <w:rsid w:val="001D01EC"/>
    <w:rsid w:val="001D3A7E"/>
    <w:rsid w:val="001E24B4"/>
    <w:rsid w:val="001F12C7"/>
    <w:rsid w:val="00223B97"/>
    <w:rsid w:val="00226911"/>
    <w:rsid w:val="002334BF"/>
    <w:rsid w:val="00241A67"/>
    <w:rsid w:val="00246A8A"/>
    <w:rsid w:val="002612E0"/>
    <w:rsid w:val="00262B58"/>
    <w:rsid w:val="0026458E"/>
    <w:rsid w:val="00273842"/>
    <w:rsid w:val="00284499"/>
    <w:rsid w:val="00287CE7"/>
    <w:rsid w:val="002920CE"/>
    <w:rsid w:val="002A0BF1"/>
    <w:rsid w:val="002B1873"/>
    <w:rsid w:val="002B36CF"/>
    <w:rsid w:val="002B5DFA"/>
    <w:rsid w:val="002C6061"/>
    <w:rsid w:val="002D3C70"/>
    <w:rsid w:val="002E309E"/>
    <w:rsid w:val="002E555C"/>
    <w:rsid w:val="002E61E5"/>
    <w:rsid w:val="00301EB0"/>
    <w:rsid w:val="0031747F"/>
    <w:rsid w:val="00323191"/>
    <w:rsid w:val="003244D7"/>
    <w:rsid w:val="00340F7D"/>
    <w:rsid w:val="00345225"/>
    <w:rsid w:val="00346236"/>
    <w:rsid w:val="00354510"/>
    <w:rsid w:val="00373BF0"/>
    <w:rsid w:val="00376057"/>
    <w:rsid w:val="00381125"/>
    <w:rsid w:val="00381348"/>
    <w:rsid w:val="00391401"/>
    <w:rsid w:val="003A7AD4"/>
    <w:rsid w:val="003C1F96"/>
    <w:rsid w:val="003C256F"/>
    <w:rsid w:val="003D4117"/>
    <w:rsid w:val="003D5B01"/>
    <w:rsid w:val="003E34B6"/>
    <w:rsid w:val="003E402A"/>
    <w:rsid w:val="003E4C54"/>
    <w:rsid w:val="003F3EE3"/>
    <w:rsid w:val="003F45A5"/>
    <w:rsid w:val="00416AEA"/>
    <w:rsid w:val="00424DC9"/>
    <w:rsid w:val="00425BAE"/>
    <w:rsid w:val="00426F7B"/>
    <w:rsid w:val="00442E18"/>
    <w:rsid w:val="00447F3F"/>
    <w:rsid w:val="0045532E"/>
    <w:rsid w:val="00455E98"/>
    <w:rsid w:val="004649A7"/>
    <w:rsid w:val="00474AE5"/>
    <w:rsid w:val="00482D6F"/>
    <w:rsid w:val="004830FD"/>
    <w:rsid w:val="00486BDC"/>
    <w:rsid w:val="004B6AA4"/>
    <w:rsid w:val="004B7901"/>
    <w:rsid w:val="004C7F5E"/>
    <w:rsid w:val="004E1FD5"/>
    <w:rsid w:val="004E5E10"/>
    <w:rsid w:val="004F28CC"/>
    <w:rsid w:val="004F4D36"/>
    <w:rsid w:val="004F61ED"/>
    <w:rsid w:val="005003AF"/>
    <w:rsid w:val="005214F5"/>
    <w:rsid w:val="0052151E"/>
    <w:rsid w:val="00527ABC"/>
    <w:rsid w:val="0053367D"/>
    <w:rsid w:val="00547000"/>
    <w:rsid w:val="0055562E"/>
    <w:rsid w:val="00560192"/>
    <w:rsid w:val="0057005C"/>
    <w:rsid w:val="00571180"/>
    <w:rsid w:val="0059057D"/>
    <w:rsid w:val="005950C0"/>
    <w:rsid w:val="005B1A51"/>
    <w:rsid w:val="005B7568"/>
    <w:rsid w:val="005C2B5C"/>
    <w:rsid w:val="005C5DDD"/>
    <w:rsid w:val="005D3F7D"/>
    <w:rsid w:val="005E72A3"/>
    <w:rsid w:val="005F024C"/>
    <w:rsid w:val="005F6A50"/>
    <w:rsid w:val="00604C6D"/>
    <w:rsid w:val="0060732F"/>
    <w:rsid w:val="00611F4D"/>
    <w:rsid w:val="00617C89"/>
    <w:rsid w:val="00636ED5"/>
    <w:rsid w:val="00637157"/>
    <w:rsid w:val="00640677"/>
    <w:rsid w:val="00677A9F"/>
    <w:rsid w:val="00680DDF"/>
    <w:rsid w:val="00693069"/>
    <w:rsid w:val="006A2652"/>
    <w:rsid w:val="006A4847"/>
    <w:rsid w:val="006B56C7"/>
    <w:rsid w:val="006B7586"/>
    <w:rsid w:val="006E7746"/>
    <w:rsid w:val="006F3005"/>
    <w:rsid w:val="006F7028"/>
    <w:rsid w:val="0070133F"/>
    <w:rsid w:val="0070267F"/>
    <w:rsid w:val="00705EBE"/>
    <w:rsid w:val="0072460D"/>
    <w:rsid w:val="007251D3"/>
    <w:rsid w:val="0074019C"/>
    <w:rsid w:val="0075265D"/>
    <w:rsid w:val="00755519"/>
    <w:rsid w:val="00763D32"/>
    <w:rsid w:val="00782DA7"/>
    <w:rsid w:val="007840AD"/>
    <w:rsid w:val="00786815"/>
    <w:rsid w:val="00794FC6"/>
    <w:rsid w:val="007958E9"/>
    <w:rsid w:val="007B1D25"/>
    <w:rsid w:val="007B480B"/>
    <w:rsid w:val="007D1374"/>
    <w:rsid w:val="007D4EF4"/>
    <w:rsid w:val="007D7BD3"/>
    <w:rsid w:val="007F06F2"/>
    <w:rsid w:val="007F22CB"/>
    <w:rsid w:val="00812018"/>
    <w:rsid w:val="00837CF7"/>
    <w:rsid w:val="008430FC"/>
    <w:rsid w:val="0084626E"/>
    <w:rsid w:val="00865ABE"/>
    <w:rsid w:val="00894D52"/>
    <w:rsid w:val="008B3F42"/>
    <w:rsid w:val="008B7FC0"/>
    <w:rsid w:val="008E506A"/>
    <w:rsid w:val="008F2BBB"/>
    <w:rsid w:val="008F6F15"/>
    <w:rsid w:val="00905458"/>
    <w:rsid w:val="009109B6"/>
    <w:rsid w:val="00914C1E"/>
    <w:rsid w:val="00921296"/>
    <w:rsid w:val="00922CA8"/>
    <w:rsid w:val="009301C0"/>
    <w:rsid w:val="009337F1"/>
    <w:rsid w:val="00936D8A"/>
    <w:rsid w:val="00936FF3"/>
    <w:rsid w:val="009457CE"/>
    <w:rsid w:val="0095476F"/>
    <w:rsid w:val="00980029"/>
    <w:rsid w:val="00980EFF"/>
    <w:rsid w:val="00987072"/>
    <w:rsid w:val="0099367B"/>
    <w:rsid w:val="009A435F"/>
    <w:rsid w:val="009B1A63"/>
    <w:rsid w:val="009B45DB"/>
    <w:rsid w:val="009C3F91"/>
    <w:rsid w:val="009C70B3"/>
    <w:rsid w:val="009D10C6"/>
    <w:rsid w:val="009D5383"/>
    <w:rsid w:val="009E0810"/>
    <w:rsid w:val="009E2800"/>
    <w:rsid w:val="009F2A84"/>
    <w:rsid w:val="00A17BC9"/>
    <w:rsid w:val="00A20FD7"/>
    <w:rsid w:val="00A519F8"/>
    <w:rsid w:val="00A768CF"/>
    <w:rsid w:val="00AA3642"/>
    <w:rsid w:val="00AB2C7D"/>
    <w:rsid w:val="00AC0C35"/>
    <w:rsid w:val="00AC60A7"/>
    <w:rsid w:val="00AD0699"/>
    <w:rsid w:val="00AE3D6C"/>
    <w:rsid w:val="00AF1D84"/>
    <w:rsid w:val="00AF3B28"/>
    <w:rsid w:val="00AF5553"/>
    <w:rsid w:val="00B0294C"/>
    <w:rsid w:val="00B104B4"/>
    <w:rsid w:val="00B250EF"/>
    <w:rsid w:val="00B42EB7"/>
    <w:rsid w:val="00B52C41"/>
    <w:rsid w:val="00B74B5A"/>
    <w:rsid w:val="00BA76B6"/>
    <w:rsid w:val="00BB4199"/>
    <w:rsid w:val="00BC0ADD"/>
    <w:rsid w:val="00BD0420"/>
    <w:rsid w:val="00BD1A59"/>
    <w:rsid w:val="00BE19ED"/>
    <w:rsid w:val="00BF13C9"/>
    <w:rsid w:val="00BF2027"/>
    <w:rsid w:val="00BF46AA"/>
    <w:rsid w:val="00BF65C0"/>
    <w:rsid w:val="00C055F7"/>
    <w:rsid w:val="00C17866"/>
    <w:rsid w:val="00C30968"/>
    <w:rsid w:val="00C32C7C"/>
    <w:rsid w:val="00C41957"/>
    <w:rsid w:val="00C72B0D"/>
    <w:rsid w:val="00C811D0"/>
    <w:rsid w:val="00C862CC"/>
    <w:rsid w:val="00CA2A3C"/>
    <w:rsid w:val="00CA3DF9"/>
    <w:rsid w:val="00CB594D"/>
    <w:rsid w:val="00CC06C7"/>
    <w:rsid w:val="00CF391E"/>
    <w:rsid w:val="00CF3938"/>
    <w:rsid w:val="00D01862"/>
    <w:rsid w:val="00D113F5"/>
    <w:rsid w:val="00D26CC6"/>
    <w:rsid w:val="00D30BEE"/>
    <w:rsid w:val="00D37804"/>
    <w:rsid w:val="00D45110"/>
    <w:rsid w:val="00D47CF5"/>
    <w:rsid w:val="00D702CE"/>
    <w:rsid w:val="00D90DF6"/>
    <w:rsid w:val="00DA1AED"/>
    <w:rsid w:val="00DB24D1"/>
    <w:rsid w:val="00DC5782"/>
    <w:rsid w:val="00DC5793"/>
    <w:rsid w:val="00DE0733"/>
    <w:rsid w:val="00DE5987"/>
    <w:rsid w:val="00DF0135"/>
    <w:rsid w:val="00DF6193"/>
    <w:rsid w:val="00DF6A9E"/>
    <w:rsid w:val="00E107F1"/>
    <w:rsid w:val="00E140AC"/>
    <w:rsid w:val="00E242DB"/>
    <w:rsid w:val="00E378E3"/>
    <w:rsid w:val="00E50B86"/>
    <w:rsid w:val="00E530DD"/>
    <w:rsid w:val="00E71C59"/>
    <w:rsid w:val="00E75FAB"/>
    <w:rsid w:val="00E81D61"/>
    <w:rsid w:val="00E84C88"/>
    <w:rsid w:val="00E936D5"/>
    <w:rsid w:val="00E95506"/>
    <w:rsid w:val="00E96118"/>
    <w:rsid w:val="00EA014A"/>
    <w:rsid w:val="00EB5E17"/>
    <w:rsid w:val="00EC0A16"/>
    <w:rsid w:val="00EC1471"/>
    <w:rsid w:val="00EC3B49"/>
    <w:rsid w:val="00ED7492"/>
    <w:rsid w:val="00EE0DE2"/>
    <w:rsid w:val="00EE1720"/>
    <w:rsid w:val="00EE1788"/>
    <w:rsid w:val="00EE189D"/>
    <w:rsid w:val="00EE1E0D"/>
    <w:rsid w:val="00F15C23"/>
    <w:rsid w:val="00F32CB4"/>
    <w:rsid w:val="00F54ABD"/>
    <w:rsid w:val="00F6021B"/>
    <w:rsid w:val="00F62D26"/>
    <w:rsid w:val="00F663BC"/>
    <w:rsid w:val="00F81087"/>
    <w:rsid w:val="00F844DE"/>
    <w:rsid w:val="00F96EFA"/>
    <w:rsid w:val="00FA1610"/>
    <w:rsid w:val="00FA17F7"/>
    <w:rsid w:val="00FA21D7"/>
    <w:rsid w:val="00FB49D3"/>
    <w:rsid w:val="00FD5C2B"/>
    <w:rsid w:val="00FE3588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DC5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C5782"/>
  </w:style>
  <w:style w:type="paragraph" w:styleId="Odlomakpopisa">
    <w:name w:val="List Paragraph"/>
    <w:basedOn w:val="Normal"/>
    <w:uiPriority w:val="34"/>
    <w:qFormat/>
    <w:rsid w:val="00DC57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4A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ABD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8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C5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rsid w:val="00DC5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578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C5782"/>
  </w:style>
  <w:style w:type="paragraph" w:styleId="Odlomakpopisa">
    <w:name w:val="List Paragraph"/>
    <w:basedOn w:val="Normal"/>
    <w:uiPriority w:val="34"/>
    <w:qFormat/>
    <w:rsid w:val="00DC57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4A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ABD"/>
    <w:rPr>
      <w:rFonts w:ascii="Tahoma" w:eastAsia="Times New Roman" w:hAnsi="Tahoma" w:cs="Tahoma"/>
      <w:sz w:val="16"/>
      <w:szCs w:val="16"/>
      <w:lang w:val="en-US"/>
    </w:rPr>
  </w:style>
  <w:style w:type="table" w:styleId="Reetkatablice">
    <w:name w:val="Table Grid"/>
    <w:basedOn w:val="Obinatablica"/>
    <w:uiPriority w:val="59"/>
    <w:rsid w:val="0028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CB4E-B6E3-4086-8866-934C083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Sanita1</dc:creator>
  <cp:lastModifiedBy>APIK 5</cp:lastModifiedBy>
  <cp:revision>3</cp:revision>
  <cp:lastPrinted>2016-07-28T13:04:00Z</cp:lastPrinted>
  <dcterms:created xsi:type="dcterms:W3CDTF">2018-02-28T13:26:00Z</dcterms:created>
  <dcterms:modified xsi:type="dcterms:W3CDTF">2018-02-28T13:50:00Z</dcterms:modified>
</cp:coreProperties>
</file>